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A202C" w14:textId="685D9B72" w:rsidR="00112C06" w:rsidRPr="000D0FE5" w:rsidRDefault="00112C06" w:rsidP="000D0FE5">
      <w:pPr>
        <w:pStyle w:val="Ttulo"/>
        <w:jc w:val="center"/>
        <w:rPr>
          <w:rFonts w:ascii="Verdana" w:eastAsia="Verdana" w:hAnsi="Verdana" w:cs="Verdana"/>
          <w:b/>
          <w:sz w:val="32"/>
          <w:szCs w:val="32"/>
        </w:rPr>
      </w:pPr>
      <w:r w:rsidRPr="00052450">
        <w:rPr>
          <w:rFonts w:ascii="Verdana" w:eastAsia="Verdana" w:hAnsi="Verdana" w:cs="Verdana"/>
          <w:b/>
          <w:sz w:val="32"/>
          <w:szCs w:val="32"/>
        </w:rPr>
        <w:t>INFORME CNO 5</w:t>
      </w:r>
      <w:r w:rsidR="00137792" w:rsidRPr="000D0FE5">
        <w:rPr>
          <w:rFonts w:ascii="Verdana" w:eastAsia="Verdana" w:hAnsi="Verdana" w:cs="Verdana"/>
          <w:b/>
          <w:sz w:val="32"/>
          <w:szCs w:val="32"/>
        </w:rPr>
        <w:t>7</w:t>
      </w:r>
      <w:r w:rsidR="00FF6F84" w:rsidRPr="000D0FE5">
        <w:rPr>
          <w:rFonts w:ascii="Verdana" w:eastAsia="Verdana" w:hAnsi="Verdana" w:cs="Verdana"/>
          <w:b/>
          <w:sz w:val="32"/>
          <w:szCs w:val="32"/>
        </w:rPr>
        <w:t>7</w:t>
      </w:r>
    </w:p>
    <w:p w14:paraId="63311C03" w14:textId="77777777" w:rsidR="00112C06" w:rsidRPr="000D0FE5" w:rsidRDefault="00112C06" w:rsidP="000D0FE5">
      <w:pPr>
        <w:jc w:val="both"/>
        <w:rPr>
          <w:rFonts w:ascii="Verdana" w:eastAsia="Verdana" w:hAnsi="Verdana" w:cs="Verdana"/>
          <w:sz w:val="22"/>
          <w:szCs w:val="22"/>
        </w:rPr>
      </w:pPr>
    </w:p>
    <w:p w14:paraId="6E0C8BBC" w14:textId="1A432664" w:rsidR="00112C06" w:rsidRPr="000D0FE5" w:rsidRDefault="00112C06" w:rsidP="000D0FE5">
      <w:pPr>
        <w:jc w:val="both"/>
        <w:rPr>
          <w:rFonts w:ascii="Verdana" w:eastAsia="Verdana" w:hAnsi="Verdana" w:cs="Verdana"/>
          <w:sz w:val="22"/>
          <w:szCs w:val="22"/>
        </w:rPr>
      </w:pPr>
      <w:r w:rsidRPr="000D0FE5">
        <w:rPr>
          <w:rFonts w:ascii="Verdana" w:eastAsia="Verdana" w:hAnsi="Verdana" w:cs="Verdana"/>
          <w:sz w:val="22"/>
          <w:szCs w:val="22"/>
        </w:rPr>
        <w:t xml:space="preserve">Fecha: </w:t>
      </w:r>
      <w:r w:rsidR="00FF6F84" w:rsidRPr="000D0FE5">
        <w:rPr>
          <w:rFonts w:ascii="Verdana" w:eastAsia="Verdana" w:hAnsi="Verdana" w:cs="Verdana"/>
          <w:sz w:val="22"/>
          <w:szCs w:val="22"/>
        </w:rPr>
        <w:t>dicie</w:t>
      </w:r>
      <w:r w:rsidR="004C4342" w:rsidRPr="000D0FE5">
        <w:rPr>
          <w:rFonts w:ascii="Verdana" w:eastAsia="Verdana" w:hAnsi="Verdana" w:cs="Verdana"/>
          <w:sz w:val="22"/>
          <w:szCs w:val="22"/>
        </w:rPr>
        <w:t>m</w:t>
      </w:r>
      <w:r w:rsidR="00C5293B" w:rsidRPr="000D0FE5">
        <w:rPr>
          <w:rFonts w:ascii="Verdana" w:eastAsia="Verdana" w:hAnsi="Verdana" w:cs="Verdana"/>
          <w:sz w:val="22"/>
          <w:szCs w:val="22"/>
        </w:rPr>
        <w:t xml:space="preserve">bre </w:t>
      </w:r>
      <w:r w:rsidR="00FF6F84" w:rsidRPr="000D0FE5">
        <w:rPr>
          <w:rFonts w:ascii="Verdana" w:eastAsia="Verdana" w:hAnsi="Verdana" w:cs="Verdana"/>
          <w:sz w:val="22"/>
          <w:szCs w:val="22"/>
        </w:rPr>
        <w:t>5</w:t>
      </w:r>
      <w:r w:rsidR="00C5293B" w:rsidRPr="000D0FE5">
        <w:rPr>
          <w:rFonts w:ascii="Verdana" w:eastAsia="Verdana" w:hAnsi="Verdana" w:cs="Verdana"/>
          <w:sz w:val="22"/>
          <w:szCs w:val="22"/>
        </w:rPr>
        <w:t xml:space="preserve"> </w:t>
      </w:r>
      <w:r w:rsidRPr="000D0FE5">
        <w:rPr>
          <w:rFonts w:ascii="Verdana" w:eastAsia="Verdana" w:hAnsi="Verdana" w:cs="Verdana"/>
          <w:sz w:val="22"/>
          <w:szCs w:val="22"/>
        </w:rPr>
        <w:t>de 2019.</w:t>
      </w:r>
    </w:p>
    <w:p w14:paraId="725993AB" w14:textId="77777777" w:rsidR="00112C06" w:rsidRPr="000D0FE5" w:rsidRDefault="00112C06" w:rsidP="000D0FE5">
      <w:pPr>
        <w:jc w:val="both"/>
        <w:rPr>
          <w:rFonts w:ascii="Verdana" w:hAnsi="Verdana"/>
          <w:sz w:val="22"/>
          <w:szCs w:val="22"/>
        </w:rPr>
      </w:pPr>
    </w:p>
    <w:p w14:paraId="7183085F" w14:textId="77777777" w:rsidR="00112C06" w:rsidRPr="000D0FE5" w:rsidRDefault="00112C06" w:rsidP="000D0FE5">
      <w:pPr>
        <w:jc w:val="both"/>
        <w:rPr>
          <w:rFonts w:ascii="Verdana" w:eastAsia="Verdana" w:hAnsi="Verdana" w:cs="Verdana"/>
          <w:b/>
          <w:sz w:val="22"/>
          <w:szCs w:val="22"/>
          <w:u w:val="single"/>
        </w:rPr>
      </w:pPr>
      <w:r w:rsidRPr="000D0FE5">
        <w:rPr>
          <w:rFonts w:ascii="Verdana" w:eastAsia="Verdana" w:hAnsi="Verdana" w:cs="Verdana"/>
          <w:b/>
          <w:sz w:val="22"/>
          <w:szCs w:val="22"/>
          <w:u w:val="single"/>
        </w:rPr>
        <w:t>ASPECTOS ADMINISTRATIVOS:</w:t>
      </w:r>
    </w:p>
    <w:p w14:paraId="740BC901" w14:textId="77777777" w:rsidR="00282C44" w:rsidRPr="00024171" w:rsidRDefault="00282C44" w:rsidP="00024171">
      <w:pPr>
        <w:autoSpaceDE w:val="0"/>
        <w:autoSpaceDN w:val="0"/>
        <w:adjustRightInd w:val="0"/>
        <w:jc w:val="both"/>
        <w:rPr>
          <w:rFonts w:ascii="Verdana" w:eastAsia="Verdana" w:hAnsi="Verdana" w:cs="Verdana"/>
          <w:sz w:val="22"/>
          <w:szCs w:val="22"/>
        </w:rPr>
      </w:pPr>
    </w:p>
    <w:p w14:paraId="2AC94F6E" w14:textId="16E80C53" w:rsidR="004C4342" w:rsidRPr="00024171" w:rsidRDefault="00FA3EC6" w:rsidP="00024171">
      <w:pPr>
        <w:pStyle w:val="Prrafodelista"/>
        <w:numPr>
          <w:ilvl w:val="0"/>
          <w:numId w:val="17"/>
        </w:numPr>
        <w:autoSpaceDE w:val="0"/>
        <w:autoSpaceDN w:val="0"/>
        <w:adjustRightInd w:val="0"/>
        <w:jc w:val="both"/>
        <w:rPr>
          <w:rFonts w:eastAsia="Verdana"/>
        </w:rPr>
      </w:pPr>
      <w:r w:rsidRPr="00052450">
        <w:rPr>
          <w:rFonts w:ascii="Verdana" w:eastAsia="Verdana" w:hAnsi="Verdana" w:cs="Verdana"/>
          <w:sz w:val="22"/>
          <w:szCs w:val="22"/>
        </w:rPr>
        <w:t xml:space="preserve">Anexo a este informe encontrarán </w:t>
      </w:r>
      <w:r w:rsidR="002E67EE" w:rsidRPr="00052450">
        <w:rPr>
          <w:rFonts w:ascii="Verdana" w:eastAsia="Verdana" w:hAnsi="Verdana" w:cs="Verdana"/>
          <w:sz w:val="22"/>
          <w:szCs w:val="22"/>
        </w:rPr>
        <w:t xml:space="preserve">el presupuesto </w:t>
      </w:r>
      <w:r w:rsidR="003A7EEB" w:rsidRPr="00052450">
        <w:rPr>
          <w:rFonts w:ascii="Verdana" w:eastAsia="Verdana" w:hAnsi="Verdana" w:cs="Verdana"/>
          <w:sz w:val="22"/>
          <w:szCs w:val="22"/>
        </w:rPr>
        <w:t>proyectado de funcionamiento d</w:t>
      </w:r>
      <w:r w:rsidRPr="00052450">
        <w:rPr>
          <w:rFonts w:ascii="Verdana" w:eastAsia="Verdana" w:hAnsi="Verdana" w:cs="Verdana"/>
          <w:sz w:val="22"/>
          <w:szCs w:val="22"/>
        </w:rPr>
        <w:t>el Con</w:t>
      </w:r>
      <w:r w:rsidR="00AC0053" w:rsidRPr="00052450">
        <w:rPr>
          <w:rFonts w:ascii="Verdana" w:eastAsia="Verdana" w:hAnsi="Verdana" w:cs="Verdana"/>
          <w:sz w:val="22"/>
          <w:szCs w:val="22"/>
        </w:rPr>
        <w:t>s</w:t>
      </w:r>
      <w:r w:rsidRPr="00052450">
        <w:rPr>
          <w:rFonts w:ascii="Verdana" w:eastAsia="Verdana" w:hAnsi="Verdana" w:cs="Verdana"/>
          <w:sz w:val="22"/>
          <w:szCs w:val="22"/>
        </w:rPr>
        <w:t xml:space="preserve">ejo para el año </w:t>
      </w:r>
      <w:r w:rsidR="002E67EE" w:rsidRPr="00052450">
        <w:rPr>
          <w:rFonts w:ascii="Verdana" w:eastAsia="Verdana" w:hAnsi="Verdana" w:cs="Verdana"/>
          <w:sz w:val="22"/>
          <w:szCs w:val="22"/>
        </w:rPr>
        <w:t>2020</w:t>
      </w:r>
      <w:r w:rsidRPr="00052450">
        <w:rPr>
          <w:rFonts w:ascii="Verdana" w:eastAsia="Verdana" w:hAnsi="Verdana" w:cs="Verdana"/>
          <w:sz w:val="22"/>
          <w:szCs w:val="22"/>
        </w:rPr>
        <w:t>,</w:t>
      </w:r>
      <w:r w:rsidR="002E67EE" w:rsidRPr="00052450">
        <w:rPr>
          <w:rFonts w:ascii="Verdana" w:eastAsia="Verdana" w:hAnsi="Verdana" w:cs="Verdana"/>
          <w:sz w:val="22"/>
          <w:szCs w:val="22"/>
        </w:rPr>
        <w:t xml:space="preserve"> con un supuesto de incremento del SMLM del 5 %.</w:t>
      </w:r>
      <w:r w:rsidR="003A7EEB" w:rsidRPr="00052450">
        <w:rPr>
          <w:rFonts w:ascii="Verdana" w:eastAsia="Verdana" w:hAnsi="Verdana" w:cs="Verdana"/>
          <w:sz w:val="22"/>
          <w:szCs w:val="22"/>
        </w:rPr>
        <w:t xml:space="preserve"> El porcentaje de incremento es del 7.64 %</w:t>
      </w:r>
      <w:r w:rsidR="00323968">
        <w:rPr>
          <w:rFonts w:ascii="Verdana" w:eastAsia="Verdana" w:hAnsi="Verdana" w:cs="Verdana"/>
          <w:sz w:val="22"/>
          <w:szCs w:val="22"/>
        </w:rPr>
        <w:t>,</w:t>
      </w:r>
      <w:r w:rsidR="003A7EEB" w:rsidRPr="00052450">
        <w:rPr>
          <w:rFonts w:ascii="Verdana" w:eastAsia="Verdana" w:hAnsi="Verdana" w:cs="Verdana"/>
          <w:sz w:val="22"/>
          <w:szCs w:val="22"/>
        </w:rPr>
        <w:t xml:space="preserve"> el cual se revaluar</w:t>
      </w:r>
      <w:r w:rsidR="00323968">
        <w:rPr>
          <w:rFonts w:ascii="Verdana" w:eastAsia="Verdana" w:hAnsi="Verdana" w:cs="Verdana"/>
          <w:sz w:val="22"/>
          <w:szCs w:val="22"/>
        </w:rPr>
        <w:t>á</w:t>
      </w:r>
      <w:r w:rsidR="003A7EEB" w:rsidRPr="00052450">
        <w:rPr>
          <w:rFonts w:ascii="Verdana" w:eastAsia="Verdana" w:hAnsi="Verdana" w:cs="Verdana"/>
          <w:sz w:val="22"/>
          <w:szCs w:val="22"/>
        </w:rPr>
        <w:t xml:space="preserve"> una vez se conozca el valor definitivo del incremento del salario mínimo para el año 2020.</w:t>
      </w:r>
    </w:p>
    <w:p w14:paraId="6228930A" w14:textId="000C9B34" w:rsidR="004C4342" w:rsidRPr="00052450" w:rsidRDefault="004C4342">
      <w:pPr>
        <w:autoSpaceDE w:val="0"/>
        <w:autoSpaceDN w:val="0"/>
        <w:adjustRightInd w:val="0"/>
        <w:jc w:val="both"/>
        <w:rPr>
          <w:rFonts w:ascii="Verdana" w:eastAsia="Verdana" w:hAnsi="Verdana" w:cs="Verdana"/>
          <w:sz w:val="22"/>
          <w:szCs w:val="22"/>
        </w:rPr>
      </w:pPr>
    </w:p>
    <w:p w14:paraId="61876C43" w14:textId="77777777" w:rsidR="00282C44" w:rsidRPr="00024171" w:rsidRDefault="00282C44">
      <w:pPr>
        <w:pStyle w:val="Prrafodelista"/>
        <w:numPr>
          <w:ilvl w:val="0"/>
          <w:numId w:val="17"/>
        </w:numPr>
        <w:autoSpaceDE w:val="0"/>
        <w:autoSpaceDN w:val="0"/>
        <w:adjustRightInd w:val="0"/>
        <w:jc w:val="both"/>
        <w:rPr>
          <w:rFonts w:ascii="Verdana" w:eastAsia="Verdana" w:hAnsi="Verdana" w:cs="Verdana"/>
          <w:sz w:val="22"/>
          <w:szCs w:val="22"/>
        </w:rPr>
      </w:pPr>
      <w:r w:rsidRPr="00024171">
        <w:rPr>
          <w:rFonts w:ascii="Verdana" w:eastAsia="Verdana" w:hAnsi="Verdana" w:cs="Verdana"/>
          <w:sz w:val="22"/>
          <w:szCs w:val="22"/>
        </w:rPr>
        <w:t>El resultado de las elecciones de los miembros del CNO para el año 2020 es el siguiente:</w:t>
      </w:r>
    </w:p>
    <w:p w14:paraId="2351208E" w14:textId="77777777" w:rsidR="00282C44" w:rsidRPr="00052450" w:rsidRDefault="00282C44">
      <w:pPr>
        <w:pStyle w:val="Prrafodelista"/>
        <w:autoSpaceDE w:val="0"/>
        <w:autoSpaceDN w:val="0"/>
        <w:adjustRightInd w:val="0"/>
        <w:ind w:left="360"/>
        <w:jc w:val="both"/>
        <w:rPr>
          <w:rFonts w:ascii="Verdana" w:eastAsia="Verdana" w:hAnsi="Verdana" w:cs="Verdana"/>
          <w:sz w:val="22"/>
          <w:szCs w:val="22"/>
        </w:rPr>
      </w:pPr>
    </w:p>
    <w:p w14:paraId="0A2FEBFC" w14:textId="247C524F" w:rsidR="00867A24" w:rsidRPr="00052450" w:rsidRDefault="00282C44" w:rsidP="00024171">
      <w:pPr>
        <w:pStyle w:val="Prrafodelista"/>
        <w:numPr>
          <w:ilvl w:val="1"/>
          <w:numId w:val="17"/>
        </w:numPr>
        <w:jc w:val="both"/>
        <w:rPr>
          <w:rFonts w:ascii="Verdana" w:eastAsia="Verdana" w:hAnsi="Verdana" w:cs="Verdana"/>
          <w:sz w:val="22"/>
          <w:szCs w:val="22"/>
        </w:rPr>
      </w:pPr>
      <w:r w:rsidRPr="00052450">
        <w:rPr>
          <w:rFonts w:ascii="Verdana" w:eastAsia="Verdana" w:hAnsi="Verdana" w:cs="Verdana"/>
          <w:sz w:val="22"/>
          <w:szCs w:val="22"/>
        </w:rPr>
        <w:t xml:space="preserve">Representantes de la actividad de generación con una capacidad instalada entre el 1% y el 5% de la capacidad instalada nacional: </w:t>
      </w:r>
      <w:r w:rsidR="00024171" w:rsidRPr="00052450">
        <w:rPr>
          <w:rFonts w:ascii="Verdana" w:eastAsia="Verdana" w:hAnsi="Verdana" w:cs="Verdana"/>
          <w:sz w:val="22"/>
          <w:szCs w:val="22"/>
        </w:rPr>
        <w:t>GECELCA</w:t>
      </w:r>
      <w:r w:rsidRPr="00052450">
        <w:rPr>
          <w:rFonts w:ascii="Verdana" w:eastAsia="Verdana" w:hAnsi="Verdana" w:cs="Verdana"/>
          <w:sz w:val="22"/>
          <w:szCs w:val="22"/>
        </w:rPr>
        <w:t xml:space="preserve"> S.A. E.S.P. y </w:t>
      </w:r>
      <w:r w:rsidR="00024171" w:rsidRPr="00052450">
        <w:rPr>
          <w:rFonts w:ascii="Verdana" w:eastAsia="Verdana" w:hAnsi="Verdana" w:cs="Verdana"/>
          <w:sz w:val="22"/>
          <w:szCs w:val="22"/>
        </w:rPr>
        <w:t>TERMOVALLE</w:t>
      </w:r>
      <w:r w:rsidRPr="00052450">
        <w:rPr>
          <w:rFonts w:ascii="Verdana" w:eastAsia="Verdana" w:hAnsi="Verdana" w:cs="Verdana"/>
          <w:sz w:val="22"/>
          <w:szCs w:val="22"/>
        </w:rPr>
        <w:t xml:space="preserve"> S.A. E.S.P.</w:t>
      </w:r>
    </w:p>
    <w:p w14:paraId="12FB3C92" w14:textId="77777777" w:rsidR="00867A24" w:rsidRPr="00052450" w:rsidRDefault="00867A24" w:rsidP="00024171">
      <w:pPr>
        <w:pStyle w:val="Prrafodelista"/>
        <w:ind w:left="1080"/>
        <w:jc w:val="both"/>
        <w:rPr>
          <w:rFonts w:ascii="Verdana" w:eastAsia="Verdana" w:hAnsi="Verdana" w:cs="Verdana"/>
          <w:sz w:val="22"/>
          <w:szCs w:val="22"/>
        </w:rPr>
      </w:pPr>
    </w:p>
    <w:p w14:paraId="140EF7BA" w14:textId="6EA8BF1E" w:rsidR="00867A24" w:rsidRPr="00024171" w:rsidRDefault="00282C44" w:rsidP="00024171">
      <w:pPr>
        <w:pStyle w:val="Prrafodelista"/>
        <w:numPr>
          <w:ilvl w:val="1"/>
          <w:numId w:val="17"/>
        </w:numPr>
        <w:jc w:val="both"/>
        <w:rPr>
          <w:rFonts w:ascii="Verdana" w:eastAsia="Verdana" w:hAnsi="Verdana" w:cs="Verdana"/>
          <w:sz w:val="22"/>
          <w:szCs w:val="22"/>
        </w:rPr>
      </w:pPr>
      <w:r w:rsidRPr="00024171">
        <w:rPr>
          <w:rFonts w:ascii="Verdana" w:eastAsia="Verdana" w:hAnsi="Verdana" w:cs="Verdana"/>
          <w:sz w:val="22"/>
          <w:szCs w:val="22"/>
        </w:rPr>
        <w:t>Representante de la actividad de generación con capacidad instalada inferior al 1% del total nacional: Proeléctrica y CIA S.C.A. E.S.P.</w:t>
      </w:r>
    </w:p>
    <w:p w14:paraId="3FA97474" w14:textId="12D9C64B" w:rsidR="00867A24" w:rsidRPr="00052450" w:rsidRDefault="00867A24" w:rsidP="00024171">
      <w:pPr>
        <w:pStyle w:val="Prrafodelista"/>
        <w:ind w:left="1080"/>
        <w:jc w:val="both"/>
        <w:rPr>
          <w:rFonts w:ascii="Verdana" w:eastAsia="Verdana" w:hAnsi="Verdana" w:cs="Verdana"/>
          <w:sz w:val="22"/>
          <w:szCs w:val="22"/>
        </w:rPr>
      </w:pPr>
    </w:p>
    <w:p w14:paraId="7481D4BE" w14:textId="506E6781" w:rsidR="00867A24" w:rsidRPr="00024171" w:rsidRDefault="00282C44" w:rsidP="00024171">
      <w:pPr>
        <w:pStyle w:val="Prrafodelista"/>
        <w:numPr>
          <w:ilvl w:val="1"/>
          <w:numId w:val="17"/>
        </w:numPr>
        <w:jc w:val="both"/>
        <w:rPr>
          <w:rFonts w:ascii="Verdana" w:eastAsia="Verdana" w:hAnsi="Verdana" w:cs="Verdana"/>
          <w:sz w:val="22"/>
          <w:szCs w:val="22"/>
        </w:rPr>
      </w:pPr>
      <w:r w:rsidRPr="00024171">
        <w:rPr>
          <w:rFonts w:ascii="Verdana" w:eastAsia="Verdana" w:hAnsi="Verdana" w:cs="Verdana"/>
          <w:sz w:val="22"/>
          <w:szCs w:val="22"/>
        </w:rPr>
        <w:t xml:space="preserve">Representante de la actividad de transmisión: </w:t>
      </w:r>
      <w:r w:rsidR="00024171" w:rsidRPr="00024171">
        <w:rPr>
          <w:rFonts w:ascii="Verdana" w:eastAsia="Verdana" w:hAnsi="Verdana" w:cs="Verdana"/>
          <w:sz w:val="22"/>
          <w:szCs w:val="22"/>
        </w:rPr>
        <w:t>INTERCOLOMBIA</w:t>
      </w:r>
      <w:r w:rsidRPr="00024171">
        <w:rPr>
          <w:rFonts w:ascii="Verdana" w:eastAsia="Verdana" w:hAnsi="Verdana" w:cs="Verdana"/>
          <w:sz w:val="22"/>
          <w:szCs w:val="22"/>
        </w:rPr>
        <w:t xml:space="preserve"> S.A. E.S.P. en representación de ISA S.A. E.S.P.</w:t>
      </w:r>
    </w:p>
    <w:p w14:paraId="0D062586" w14:textId="77777777" w:rsidR="00867A24" w:rsidRPr="00052450" w:rsidRDefault="00867A24" w:rsidP="00024171">
      <w:pPr>
        <w:pStyle w:val="Prrafodelista"/>
        <w:ind w:left="1080"/>
        <w:jc w:val="both"/>
        <w:rPr>
          <w:rFonts w:ascii="Verdana" w:eastAsia="Verdana" w:hAnsi="Verdana" w:cs="Verdana"/>
          <w:sz w:val="22"/>
          <w:szCs w:val="22"/>
        </w:rPr>
      </w:pPr>
    </w:p>
    <w:p w14:paraId="276C0AD7" w14:textId="3685B2A8" w:rsidR="00282C44" w:rsidRPr="00024171" w:rsidRDefault="00282C44" w:rsidP="00024171">
      <w:pPr>
        <w:pStyle w:val="Prrafodelista"/>
        <w:numPr>
          <w:ilvl w:val="1"/>
          <w:numId w:val="17"/>
        </w:numPr>
        <w:jc w:val="both"/>
        <w:rPr>
          <w:rFonts w:ascii="Verdana" w:eastAsia="Verdana" w:hAnsi="Verdana" w:cs="Verdana"/>
          <w:sz w:val="22"/>
          <w:szCs w:val="22"/>
        </w:rPr>
      </w:pPr>
      <w:r w:rsidRPr="00024171">
        <w:rPr>
          <w:rFonts w:ascii="Verdana" w:eastAsia="Verdana" w:hAnsi="Verdana" w:cs="Verdana"/>
          <w:sz w:val="22"/>
          <w:szCs w:val="22"/>
        </w:rPr>
        <w:t xml:space="preserve">Representante de la actividad de distribución: </w:t>
      </w:r>
      <w:r w:rsidR="00024171" w:rsidRPr="00024171">
        <w:rPr>
          <w:rFonts w:ascii="Verdana" w:eastAsia="Verdana" w:hAnsi="Verdana" w:cs="Verdana"/>
          <w:sz w:val="22"/>
          <w:szCs w:val="22"/>
        </w:rPr>
        <w:t>DISPAC</w:t>
      </w:r>
      <w:r w:rsidRPr="00024171">
        <w:rPr>
          <w:rFonts w:ascii="Verdana" w:eastAsia="Verdana" w:hAnsi="Verdana" w:cs="Verdana"/>
          <w:sz w:val="22"/>
          <w:szCs w:val="22"/>
        </w:rPr>
        <w:t xml:space="preserve"> S.A. E.S.P.</w:t>
      </w:r>
    </w:p>
    <w:p w14:paraId="2EB79E5D" w14:textId="767BA4B4" w:rsidR="00FF6F84" w:rsidRPr="00052450" w:rsidRDefault="00FF6F84">
      <w:pPr>
        <w:autoSpaceDE w:val="0"/>
        <w:autoSpaceDN w:val="0"/>
        <w:adjustRightInd w:val="0"/>
        <w:jc w:val="both"/>
        <w:rPr>
          <w:rFonts w:ascii="Verdana" w:eastAsia="Verdana" w:hAnsi="Verdana" w:cs="Verdana"/>
          <w:sz w:val="22"/>
          <w:szCs w:val="22"/>
        </w:rPr>
      </w:pPr>
    </w:p>
    <w:p w14:paraId="4186C33F" w14:textId="5923B120" w:rsidR="00CD1779" w:rsidRPr="00024171" w:rsidRDefault="00E57880" w:rsidP="00024171">
      <w:pPr>
        <w:pStyle w:val="Prrafodelista"/>
        <w:numPr>
          <w:ilvl w:val="0"/>
          <w:numId w:val="17"/>
        </w:numPr>
        <w:autoSpaceDE w:val="0"/>
        <w:autoSpaceDN w:val="0"/>
        <w:adjustRightInd w:val="0"/>
        <w:jc w:val="both"/>
        <w:rPr>
          <w:rFonts w:ascii="Verdana" w:eastAsia="Verdana" w:hAnsi="Verdana" w:cs="Verdana"/>
          <w:sz w:val="22"/>
          <w:szCs w:val="22"/>
        </w:rPr>
      </w:pPr>
      <w:r w:rsidRPr="00024171">
        <w:rPr>
          <w:rFonts w:ascii="Verdana" w:eastAsia="Verdana" w:hAnsi="Verdana" w:cs="Verdana"/>
          <w:sz w:val="22"/>
          <w:szCs w:val="22"/>
        </w:rPr>
        <w:t>En el Anexo del informe encuentran el reporte de asistencia de los miembros CNO del año 2019, hasta la reunión 575.</w:t>
      </w:r>
    </w:p>
    <w:p w14:paraId="48152AA9" w14:textId="77777777" w:rsidR="00FF6F84" w:rsidRPr="00052450" w:rsidRDefault="00FF6F84">
      <w:pPr>
        <w:autoSpaceDE w:val="0"/>
        <w:autoSpaceDN w:val="0"/>
        <w:adjustRightInd w:val="0"/>
        <w:jc w:val="both"/>
        <w:rPr>
          <w:rFonts w:ascii="Verdana" w:eastAsia="Verdana" w:hAnsi="Verdana" w:cs="Verdana"/>
          <w:sz w:val="22"/>
          <w:szCs w:val="22"/>
        </w:rPr>
      </w:pPr>
    </w:p>
    <w:p w14:paraId="43EE1A47" w14:textId="77777777" w:rsidR="00112C06" w:rsidRPr="00052450" w:rsidRDefault="00112C06">
      <w:pPr>
        <w:jc w:val="both"/>
        <w:rPr>
          <w:rFonts w:ascii="Verdana" w:eastAsia="Verdana" w:hAnsi="Verdana" w:cs="Verdana"/>
          <w:b/>
          <w:sz w:val="22"/>
          <w:szCs w:val="22"/>
          <w:u w:val="single"/>
        </w:rPr>
      </w:pPr>
      <w:r w:rsidRPr="00052450">
        <w:rPr>
          <w:rFonts w:ascii="Verdana" w:eastAsia="Verdana" w:hAnsi="Verdana" w:cs="Verdana"/>
          <w:b/>
          <w:sz w:val="22"/>
          <w:szCs w:val="22"/>
          <w:u w:val="single"/>
        </w:rPr>
        <w:t>ASPECTOS TÉCNICOS:</w:t>
      </w:r>
    </w:p>
    <w:p w14:paraId="2F81F121" w14:textId="77777777" w:rsidR="00530852" w:rsidRPr="00024171" w:rsidRDefault="00530852" w:rsidP="00024171">
      <w:pPr>
        <w:jc w:val="both"/>
        <w:rPr>
          <w:rFonts w:ascii="Verdana" w:hAnsi="Verdana"/>
          <w:bCs/>
          <w:sz w:val="22"/>
          <w:szCs w:val="22"/>
        </w:rPr>
      </w:pPr>
    </w:p>
    <w:p w14:paraId="38A7B754" w14:textId="6F069468" w:rsidR="0020013A" w:rsidRPr="00052450" w:rsidRDefault="0026220B">
      <w:pPr>
        <w:pStyle w:val="Prrafodelista"/>
        <w:numPr>
          <w:ilvl w:val="0"/>
          <w:numId w:val="17"/>
        </w:numPr>
        <w:jc w:val="both"/>
        <w:rPr>
          <w:rFonts w:ascii="Verdana" w:eastAsia="Verdana" w:hAnsi="Verdana" w:cs="Verdana"/>
          <w:sz w:val="22"/>
          <w:szCs w:val="22"/>
        </w:rPr>
      </w:pPr>
      <w:r w:rsidRPr="00052450">
        <w:rPr>
          <w:rFonts w:ascii="Verdana" w:eastAsia="Verdana" w:hAnsi="Verdana" w:cs="Verdana"/>
          <w:sz w:val="22"/>
          <w:szCs w:val="22"/>
        </w:rPr>
        <w:t xml:space="preserve">Luego que los subcomités de Controles, Protecciones y Análisis y Planeación Eléctrica, junto con el Comité de Supervisión, formularan junto con el CND la propuesta de Acuerdo para definir las condiciones de conexión y pruebas de los dispositivos SAEB, </w:t>
      </w:r>
      <w:r w:rsidR="006D63B8" w:rsidRPr="00052450">
        <w:rPr>
          <w:rFonts w:ascii="Verdana" w:eastAsia="Verdana" w:hAnsi="Verdana" w:cs="Verdana"/>
          <w:sz w:val="22"/>
          <w:szCs w:val="22"/>
        </w:rPr>
        <w:t>en el marco de</w:t>
      </w:r>
      <w:r w:rsidRPr="00052450">
        <w:rPr>
          <w:rFonts w:ascii="Verdana" w:eastAsia="Verdana" w:hAnsi="Verdana" w:cs="Verdana"/>
          <w:sz w:val="22"/>
          <w:szCs w:val="22"/>
        </w:rPr>
        <w:t xml:space="preserve"> la Resolución CREG 098 de 2019</w:t>
      </w:r>
      <w:r w:rsidR="006D63B8" w:rsidRPr="00052450">
        <w:rPr>
          <w:rFonts w:ascii="Verdana" w:eastAsia="Verdana" w:hAnsi="Verdana" w:cs="Verdana"/>
          <w:sz w:val="22"/>
          <w:szCs w:val="22"/>
        </w:rPr>
        <w:t>, los Comités de Operación,</w:t>
      </w:r>
      <w:r w:rsidRPr="00052450">
        <w:rPr>
          <w:rFonts w:ascii="Verdana" w:eastAsia="Verdana" w:hAnsi="Verdana" w:cs="Verdana"/>
          <w:sz w:val="22"/>
          <w:szCs w:val="22"/>
        </w:rPr>
        <w:t xml:space="preserve"> Transmisión</w:t>
      </w:r>
      <w:r w:rsidR="006D63B8" w:rsidRPr="00052450">
        <w:rPr>
          <w:rFonts w:ascii="Verdana" w:eastAsia="Verdana" w:hAnsi="Verdana" w:cs="Verdana"/>
          <w:sz w:val="22"/>
          <w:szCs w:val="22"/>
        </w:rPr>
        <w:t xml:space="preserve"> y </w:t>
      </w:r>
      <w:r w:rsidRPr="00052450">
        <w:rPr>
          <w:rFonts w:ascii="Verdana" w:eastAsia="Verdana" w:hAnsi="Verdana" w:cs="Verdana"/>
          <w:sz w:val="22"/>
          <w:szCs w:val="22"/>
        </w:rPr>
        <w:t xml:space="preserve">Distribución </w:t>
      </w:r>
      <w:r w:rsidR="006D63B8" w:rsidRPr="00052450">
        <w:rPr>
          <w:rFonts w:ascii="Verdana" w:eastAsia="Verdana" w:hAnsi="Verdana" w:cs="Verdana"/>
          <w:sz w:val="22"/>
          <w:szCs w:val="22"/>
        </w:rPr>
        <w:t>recomendaron al</w:t>
      </w:r>
      <w:r w:rsidR="00282C44" w:rsidRPr="00024171">
        <w:rPr>
          <w:rFonts w:ascii="Verdana" w:eastAsia="Verdana" w:hAnsi="Verdana" w:cs="Verdana"/>
          <w:sz w:val="22"/>
          <w:szCs w:val="22"/>
        </w:rPr>
        <w:t xml:space="preserve"> CNO </w:t>
      </w:r>
      <w:r w:rsidR="006D63B8" w:rsidRPr="00052450">
        <w:rPr>
          <w:rFonts w:ascii="Verdana" w:eastAsia="Verdana" w:hAnsi="Verdana" w:cs="Verdana"/>
          <w:sz w:val="22"/>
          <w:szCs w:val="22"/>
        </w:rPr>
        <w:t>aprobar dicho A</w:t>
      </w:r>
      <w:r w:rsidR="003A7EEB" w:rsidRPr="00024171">
        <w:rPr>
          <w:rFonts w:ascii="Verdana" w:eastAsia="Verdana" w:hAnsi="Verdana" w:cs="Verdana"/>
          <w:sz w:val="22"/>
          <w:szCs w:val="22"/>
        </w:rPr>
        <w:t>cuerdo</w:t>
      </w:r>
      <w:r w:rsidR="00E704EC" w:rsidRPr="00024171">
        <w:rPr>
          <w:rFonts w:ascii="Verdana" w:eastAsia="Verdana" w:hAnsi="Verdana" w:cs="Verdana"/>
          <w:sz w:val="22"/>
          <w:szCs w:val="22"/>
        </w:rPr>
        <w:t>.</w:t>
      </w:r>
      <w:r w:rsidR="006D63B8" w:rsidRPr="00052450">
        <w:rPr>
          <w:rFonts w:ascii="Verdana" w:eastAsia="Verdana" w:hAnsi="Verdana" w:cs="Verdana"/>
          <w:sz w:val="22"/>
          <w:szCs w:val="22"/>
        </w:rPr>
        <w:t xml:space="preserve"> </w:t>
      </w:r>
      <w:r w:rsidR="00024171">
        <w:rPr>
          <w:rFonts w:ascii="Verdana" w:eastAsia="Verdana" w:hAnsi="Verdana" w:cs="Verdana"/>
          <w:sz w:val="22"/>
          <w:szCs w:val="22"/>
        </w:rPr>
        <w:t>Al</w:t>
      </w:r>
      <w:r w:rsidR="00051257" w:rsidRPr="00024171">
        <w:rPr>
          <w:rFonts w:ascii="Verdana" w:eastAsia="Verdana" w:hAnsi="Verdana" w:cs="Verdana"/>
          <w:sz w:val="22"/>
          <w:szCs w:val="22"/>
        </w:rPr>
        <w:t>gun</w:t>
      </w:r>
      <w:r w:rsidR="00E704EC" w:rsidRPr="00024171">
        <w:rPr>
          <w:rFonts w:ascii="Verdana" w:eastAsia="Verdana" w:hAnsi="Verdana" w:cs="Verdana"/>
          <w:sz w:val="22"/>
          <w:szCs w:val="22"/>
        </w:rPr>
        <w:t>os agentes manif</w:t>
      </w:r>
      <w:r w:rsidR="006D63B8" w:rsidRPr="00052450">
        <w:rPr>
          <w:rFonts w:ascii="Verdana" w:eastAsia="Verdana" w:hAnsi="Verdana" w:cs="Verdana"/>
          <w:sz w:val="22"/>
          <w:szCs w:val="22"/>
        </w:rPr>
        <w:t>i</w:t>
      </w:r>
      <w:r w:rsidR="00E704EC" w:rsidRPr="00024171">
        <w:rPr>
          <w:rFonts w:ascii="Verdana" w:eastAsia="Verdana" w:hAnsi="Verdana" w:cs="Verdana"/>
          <w:sz w:val="22"/>
          <w:szCs w:val="22"/>
        </w:rPr>
        <w:t>esta</w:t>
      </w:r>
      <w:r w:rsidR="006D63B8" w:rsidRPr="00052450">
        <w:rPr>
          <w:rFonts w:ascii="Verdana" w:eastAsia="Verdana" w:hAnsi="Verdana" w:cs="Verdana"/>
          <w:sz w:val="22"/>
          <w:szCs w:val="22"/>
        </w:rPr>
        <w:t>n</w:t>
      </w:r>
      <w:r w:rsidR="00E704EC" w:rsidRPr="00024171">
        <w:rPr>
          <w:rFonts w:ascii="Verdana" w:eastAsia="Verdana" w:hAnsi="Verdana" w:cs="Verdana"/>
          <w:sz w:val="22"/>
          <w:szCs w:val="22"/>
        </w:rPr>
        <w:t xml:space="preserve"> que el requerimiento asociado a la rampa operativa propia del SAEB</w:t>
      </w:r>
      <w:r w:rsidR="0020013A" w:rsidRPr="00052450">
        <w:rPr>
          <w:rFonts w:ascii="Verdana" w:eastAsia="Verdana" w:hAnsi="Verdana" w:cs="Verdana"/>
          <w:sz w:val="22"/>
          <w:szCs w:val="22"/>
        </w:rPr>
        <w:t>,</w:t>
      </w:r>
      <w:r w:rsidR="00E704EC" w:rsidRPr="00024171">
        <w:rPr>
          <w:rFonts w:ascii="Verdana" w:eastAsia="Verdana" w:hAnsi="Verdana" w:cs="Verdana"/>
          <w:sz w:val="22"/>
          <w:szCs w:val="22"/>
        </w:rPr>
        <w:t xml:space="preserve"> que define que est</w:t>
      </w:r>
      <w:r w:rsidR="006D63B8" w:rsidRPr="00052450">
        <w:rPr>
          <w:rFonts w:ascii="Verdana" w:eastAsia="Verdana" w:hAnsi="Verdana" w:cs="Verdana"/>
          <w:sz w:val="22"/>
          <w:szCs w:val="22"/>
        </w:rPr>
        <w:t>e dispositivo</w:t>
      </w:r>
      <w:r w:rsidR="00E704EC" w:rsidRPr="00024171">
        <w:rPr>
          <w:rFonts w:ascii="Verdana" w:eastAsia="Verdana" w:hAnsi="Verdana" w:cs="Verdana"/>
          <w:sz w:val="22"/>
          <w:szCs w:val="22"/>
        </w:rPr>
        <w:t xml:space="preserve"> debe</w:t>
      </w:r>
      <w:r w:rsidR="006D63B8" w:rsidRPr="00052450">
        <w:rPr>
          <w:rFonts w:ascii="Verdana" w:eastAsia="Verdana" w:hAnsi="Verdana" w:cs="Verdana"/>
          <w:sz w:val="22"/>
          <w:szCs w:val="22"/>
        </w:rPr>
        <w:t xml:space="preserve"> inyectar el 100 % de su capacidad </w:t>
      </w:r>
      <w:r w:rsidR="000F525F" w:rsidRPr="00052450">
        <w:rPr>
          <w:rFonts w:ascii="Verdana" w:eastAsia="Verdana" w:hAnsi="Verdana" w:cs="Verdana"/>
          <w:sz w:val="22"/>
          <w:szCs w:val="22"/>
        </w:rPr>
        <w:t>(</w:t>
      </w:r>
      <w:r w:rsidR="006D63B8" w:rsidRPr="00052450">
        <w:rPr>
          <w:rFonts w:ascii="Verdana" w:eastAsia="Verdana" w:hAnsi="Verdana" w:cs="Verdana"/>
          <w:sz w:val="22"/>
          <w:szCs w:val="22"/>
        </w:rPr>
        <w:t>en potencia</w:t>
      </w:r>
      <w:r w:rsidR="000F525F" w:rsidRPr="00052450">
        <w:rPr>
          <w:rFonts w:ascii="Verdana" w:eastAsia="Verdana" w:hAnsi="Verdana" w:cs="Verdana"/>
          <w:sz w:val="22"/>
          <w:szCs w:val="22"/>
        </w:rPr>
        <w:t>)</w:t>
      </w:r>
      <w:r w:rsidR="006D63B8" w:rsidRPr="00052450">
        <w:rPr>
          <w:rFonts w:ascii="Verdana" w:eastAsia="Verdana" w:hAnsi="Verdana" w:cs="Verdana"/>
          <w:sz w:val="22"/>
          <w:szCs w:val="22"/>
        </w:rPr>
        <w:t xml:space="preserve"> antes de </w:t>
      </w:r>
      <w:r w:rsidR="00E704EC" w:rsidRPr="00024171">
        <w:rPr>
          <w:rFonts w:ascii="Verdana" w:eastAsia="Verdana" w:hAnsi="Verdana" w:cs="Verdana"/>
          <w:sz w:val="22"/>
          <w:szCs w:val="22"/>
        </w:rPr>
        <w:t>1 segundo</w:t>
      </w:r>
      <w:r w:rsidR="006D63B8" w:rsidRPr="00052450">
        <w:rPr>
          <w:rFonts w:ascii="Verdana" w:eastAsia="Verdana" w:hAnsi="Verdana" w:cs="Verdana"/>
          <w:sz w:val="22"/>
          <w:szCs w:val="22"/>
        </w:rPr>
        <w:t>,</w:t>
      </w:r>
      <w:r w:rsidR="00E704EC" w:rsidRPr="00024171">
        <w:rPr>
          <w:rFonts w:ascii="Verdana" w:eastAsia="Verdana" w:hAnsi="Verdana" w:cs="Verdana"/>
          <w:sz w:val="22"/>
          <w:szCs w:val="22"/>
        </w:rPr>
        <w:t xml:space="preserve"> es muy exigente</w:t>
      </w:r>
      <w:r w:rsidR="006D63B8" w:rsidRPr="00052450">
        <w:rPr>
          <w:rFonts w:ascii="Verdana" w:eastAsia="Verdana" w:hAnsi="Verdana" w:cs="Verdana"/>
          <w:sz w:val="22"/>
          <w:szCs w:val="22"/>
        </w:rPr>
        <w:t>. Es decir, dicha condición podría, a juicio de ellos, constituirse en</w:t>
      </w:r>
      <w:r w:rsidR="00E704EC" w:rsidRPr="00024171">
        <w:rPr>
          <w:rFonts w:ascii="Verdana" w:eastAsia="Verdana" w:hAnsi="Verdana" w:cs="Verdana"/>
          <w:sz w:val="22"/>
          <w:szCs w:val="22"/>
        </w:rPr>
        <w:t xml:space="preserve"> una barrera de entrada para algunos fabricantes. </w:t>
      </w:r>
    </w:p>
    <w:p w14:paraId="0E662EE4" w14:textId="77777777" w:rsidR="0020013A" w:rsidRPr="00052450" w:rsidRDefault="0020013A">
      <w:pPr>
        <w:pStyle w:val="Prrafodelista"/>
        <w:ind w:left="360"/>
        <w:jc w:val="both"/>
        <w:rPr>
          <w:rFonts w:ascii="Verdana" w:eastAsia="Verdana" w:hAnsi="Verdana" w:cs="Verdana"/>
          <w:sz w:val="22"/>
          <w:szCs w:val="22"/>
        </w:rPr>
      </w:pPr>
    </w:p>
    <w:p w14:paraId="3523D3D0" w14:textId="68455B11" w:rsidR="0020013A" w:rsidRPr="00052450" w:rsidRDefault="00E704EC">
      <w:pPr>
        <w:pStyle w:val="Prrafodelista"/>
        <w:ind w:left="360"/>
        <w:jc w:val="both"/>
        <w:rPr>
          <w:rFonts w:ascii="Verdana" w:eastAsia="Verdana" w:hAnsi="Verdana" w:cs="Verdana"/>
          <w:sz w:val="22"/>
          <w:szCs w:val="22"/>
        </w:rPr>
      </w:pPr>
      <w:r w:rsidRPr="00024171">
        <w:rPr>
          <w:rFonts w:ascii="Verdana" w:eastAsia="Verdana" w:hAnsi="Verdana" w:cs="Verdana"/>
          <w:sz w:val="22"/>
          <w:szCs w:val="22"/>
        </w:rPr>
        <w:t>Al respecto</w:t>
      </w:r>
      <w:r w:rsidR="006D63B8" w:rsidRPr="00052450">
        <w:rPr>
          <w:rFonts w:ascii="Verdana" w:eastAsia="Verdana" w:hAnsi="Verdana" w:cs="Verdana"/>
          <w:sz w:val="22"/>
          <w:szCs w:val="22"/>
        </w:rPr>
        <w:t>,</w:t>
      </w:r>
      <w:r w:rsidRPr="00024171">
        <w:rPr>
          <w:rFonts w:ascii="Verdana" w:eastAsia="Verdana" w:hAnsi="Verdana" w:cs="Verdana"/>
          <w:sz w:val="22"/>
          <w:szCs w:val="22"/>
        </w:rPr>
        <w:t xml:space="preserve"> el CND indicó que este es un requerimiento definido para cumplir con la función de alivio de restricciones</w:t>
      </w:r>
      <w:r w:rsidR="006D63B8" w:rsidRPr="00052450">
        <w:rPr>
          <w:rFonts w:ascii="Verdana" w:eastAsia="Verdana" w:hAnsi="Verdana" w:cs="Verdana"/>
          <w:sz w:val="22"/>
          <w:szCs w:val="22"/>
        </w:rPr>
        <w:t xml:space="preserve">, </w:t>
      </w:r>
      <w:r w:rsidRPr="00024171">
        <w:rPr>
          <w:rFonts w:ascii="Verdana" w:eastAsia="Verdana" w:hAnsi="Verdana" w:cs="Verdana"/>
          <w:sz w:val="22"/>
          <w:szCs w:val="22"/>
        </w:rPr>
        <w:t xml:space="preserve">y que los fabricantes consultados </w:t>
      </w:r>
      <w:r w:rsidR="006D63B8" w:rsidRPr="00052450">
        <w:rPr>
          <w:rFonts w:ascii="Verdana" w:eastAsia="Verdana" w:hAnsi="Verdana" w:cs="Verdana"/>
          <w:sz w:val="22"/>
          <w:szCs w:val="22"/>
        </w:rPr>
        <w:t>la cumplen a cabalidad</w:t>
      </w:r>
      <w:r w:rsidRPr="00024171">
        <w:rPr>
          <w:rFonts w:ascii="Verdana" w:eastAsia="Verdana" w:hAnsi="Verdana" w:cs="Verdana"/>
          <w:sz w:val="22"/>
          <w:szCs w:val="22"/>
        </w:rPr>
        <w:t xml:space="preserve">. Ante esta situación, se definió que </w:t>
      </w:r>
      <w:r w:rsidR="00024171">
        <w:rPr>
          <w:rFonts w:ascii="Verdana" w:eastAsia="Verdana" w:hAnsi="Verdana" w:cs="Verdana"/>
          <w:sz w:val="22"/>
          <w:szCs w:val="22"/>
        </w:rPr>
        <w:t>se</w:t>
      </w:r>
      <w:r w:rsidRPr="00024171">
        <w:rPr>
          <w:rFonts w:ascii="Verdana" w:eastAsia="Verdana" w:hAnsi="Verdana" w:cs="Verdana"/>
          <w:sz w:val="22"/>
          <w:szCs w:val="22"/>
        </w:rPr>
        <w:t xml:space="preserve"> realizará una consulta a otros fabricantes.</w:t>
      </w:r>
    </w:p>
    <w:p w14:paraId="1886C236" w14:textId="77777777" w:rsidR="0020013A" w:rsidRPr="00052450" w:rsidRDefault="0020013A">
      <w:pPr>
        <w:pStyle w:val="Prrafodelista"/>
        <w:ind w:left="360"/>
        <w:jc w:val="both"/>
        <w:rPr>
          <w:rFonts w:ascii="Verdana" w:eastAsia="Verdana" w:hAnsi="Verdana" w:cs="Verdana"/>
          <w:sz w:val="22"/>
          <w:szCs w:val="22"/>
        </w:rPr>
      </w:pPr>
    </w:p>
    <w:p w14:paraId="03BD276C" w14:textId="0E11725D" w:rsidR="0020013A" w:rsidRPr="00052450" w:rsidRDefault="006D63B8">
      <w:pPr>
        <w:pStyle w:val="Prrafodelista"/>
        <w:ind w:left="360"/>
        <w:jc w:val="both"/>
        <w:rPr>
          <w:rFonts w:ascii="Verdana" w:eastAsia="Verdana" w:hAnsi="Verdana" w:cs="Verdana"/>
          <w:sz w:val="22"/>
          <w:szCs w:val="22"/>
        </w:rPr>
      </w:pPr>
      <w:r w:rsidRPr="00052450">
        <w:rPr>
          <w:rFonts w:ascii="Verdana" w:eastAsia="Verdana" w:hAnsi="Verdana" w:cs="Verdana"/>
          <w:sz w:val="22"/>
          <w:szCs w:val="22"/>
        </w:rPr>
        <w:t xml:space="preserve">Finalmente, se está elaborando </w:t>
      </w:r>
      <w:r w:rsidR="000F525F" w:rsidRPr="00052450">
        <w:rPr>
          <w:rFonts w:ascii="Verdana" w:eastAsia="Verdana" w:hAnsi="Verdana" w:cs="Verdana"/>
          <w:sz w:val="22"/>
          <w:szCs w:val="22"/>
        </w:rPr>
        <w:t>una</w:t>
      </w:r>
      <w:r w:rsidRPr="00052450">
        <w:rPr>
          <w:rFonts w:ascii="Verdana" w:eastAsia="Verdana" w:hAnsi="Verdana" w:cs="Verdana"/>
          <w:sz w:val="22"/>
          <w:szCs w:val="22"/>
        </w:rPr>
        <w:t xml:space="preserve"> comunicación para enviar a la UPME y la CREG, sobre la importancia de determinar</w:t>
      </w:r>
      <w:r w:rsidR="000F525F" w:rsidRPr="00052450">
        <w:rPr>
          <w:rFonts w:ascii="Verdana" w:eastAsia="Verdana" w:hAnsi="Verdana" w:cs="Verdana"/>
          <w:sz w:val="22"/>
          <w:szCs w:val="22"/>
        </w:rPr>
        <w:t xml:space="preserve"> claramente en los DSI de la Unidad las características, modos de operación</w:t>
      </w:r>
      <w:r w:rsidR="005814CA" w:rsidRPr="00052450">
        <w:rPr>
          <w:rFonts w:ascii="Verdana" w:eastAsia="Verdana" w:hAnsi="Verdana" w:cs="Verdana"/>
          <w:sz w:val="22"/>
          <w:szCs w:val="22"/>
        </w:rPr>
        <w:t>, estudios específicos, dimensionamiento</w:t>
      </w:r>
      <w:r w:rsidR="000F525F" w:rsidRPr="00052450">
        <w:rPr>
          <w:rFonts w:ascii="Verdana" w:eastAsia="Verdana" w:hAnsi="Verdana" w:cs="Verdana"/>
          <w:sz w:val="22"/>
          <w:szCs w:val="22"/>
        </w:rPr>
        <w:t xml:space="preserve"> y funciones que deben desempeñar los SAEB </w:t>
      </w:r>
      <w:r w:rsidR="000F525F" w:rsidRPr="00052450">
        <w:rPr>
          <w:rFonts w:ascii="Verdana" w:eastAsia="Verdana" w:hAnsi="Verdana" w:cs="Verdana"/>
          <w:sz w:val="22"/>
          <w:szCs w:val="22"/>
        </w:rPr>
        <w:lastRenderedPageBreak/>
        <w:t xml:space="preserve">para mitigar restricciones, ya sean operativas o eléctricas. Asimismo, se incluirán los comentarios del </w:t>
      </w:r>
      <w:r w:rsidR="001116E9" w:rsidRPr="00024171">
        <w:rPr>
          <w:rFonts w:ascii="Verdana" w:eastAsia="Verdana" w:hAnsi="Verdana" w:cs="Verdana"/>
          <w:sz w:val="22"/>
          <w:szCs w:val="22"/>
        </w:rPr>
        <w:t xml:space="preserve">Comité de Supervisión y ciberseguridad </w:t>
      </w:r>
      <w:r w:rsidR="000F525F" w:rsidRPr="00052450">
        <w:rPr>
          <w:rFonts w:ascii="Verdana" w:eastAsia="Verdana" w:hAnsi="Verdana" w:cs="Verdana"/>
          <w:sz w:val="22"/>
          <w:szCs w:val="22"/>
        </w:rPr>
        <w:t>sobre</w:t>
      </w:r>
      <w:r w:rsidR="001116E9" w:rsidRPr="00024171">
        <w:rPr>
          <w:rFonts w:ascii="Verdana" w:eastAsia="Verdana" w:hAnsi="Verdana" w:cs="Verdana"/>
          <w:sz w:val="22"/>
          <w:szCs w:val="22"/>
        </w:rPr>
        <w:t>:</w:t>
      </w:r>
    </w:p>
    <w:p w14:paraId="6CAA09BB" w14:textId="77777777" w:rsidR="0020013A" w:rsidRPr="00052450" w:rsidRDefault="0020013A">
      <w:pPr>
        <w:pStyle w:val="Prrafodelista"/>
        <w:ind w:left="360"/>
        <w:jc w:val="both"/>
        <w:rPr>
          <w:rFonts w:ascii="Verdana" w:eastAsia="Verdana" w:hAnsi="Verdana" w:cs="Verdana"/>
          <w:sz w:val="22"/>
          <w:szCs w:val="22"/>
        </w:rPr>
      </w:pPr>
    </w:p>
    <w:p w14:paraId="2E51AABB" w14:textId="6311D22A" w:rsidR="0020013A" w:rsidRPr="00052450" w:rsidRDefault="0034727B">
      <w:pPr>
        <w:pStyle w:val="Prrafodelista"/>
        <w:numPr>
          <w:ilvl w:val="1"/>
          <w:numId w:val="17"/>
        </w:numPr>
        <w:jc w:val="both"/>
        <w:rPr>
          <w:rFonts w:ascii="Verdana" w:eastAsia="Verdana" w:hAnsi="Verdana" w:cs="Verdana"/>
          <w:sz w:val="22"/>
          <w:szCs w:val="22"/>
        </w:rPr>
      </w:pPr>
      <w:r w:rsidRPr="00024171">
        <w:rPr>
          <w:rFonts w:ascii="Verdana" w:eastAsia="Verdana" w:hAnsi="Verdana" w:cs="Verdana"/>
          <w:sz w:val="22"/>
          <w:szCs w:val="22"/>
        </w:rPr>
        <w:t>Definición regulatoria de un alcance más claro en cuanto a la supervisión requerida para el monitoreo de las restricciones en el SIN</w:t>
      </w:r>
      <w:r w:rsidR="0020013A" w:rsidRPr="00052450">
        <w:rPr>
          <w:rFonts w:ascii="Verdana" w:eastAsia="Verdana" w:hAnsi="Verdana" w:cs="Verdana"/>
          <w:sz w:val="22"/>
          <w:szCs w:val="22"/>
        </w:rPr>
        <w:t>.</w:t>
      </w:r>
    </w:p>
    <w:p w14:paraId="07739F2C" w14:textId="77777777" w:rsidR="000F525F" w:rsidRPr="00052450" w:rsidRDefault="000F525F" w:rsidP="00024171">
      <w:pPr>
        <w:pStyle w:val="Prrafodelista"/>
        <w:ind w:left="1080"/>
        <w:jc w:val="both"/>
        <w:rPr>
          <w:rFonts w:ascii="Verdana" w:eastAsia="Verdana" w:hAnsi="Verdana" w:cs="Verdana"/>
          <w:sz w:val="22"/>
          <w:szCs w:val="22"/>
        </w:rPr>
      </w:pPr>
    </w:p>
    <w:p w14:paraId="3F729346" w14:textId="2E549984" w:rsidR="001D1DF8" w:rsidRPr="00052450" w:rsidRDefault="0020013A" w:rsidP="00024171">
      <w:pPr>
        <w:pStyle w:val="Prrafodelista"/>
        <w:numPr>
          <w:ilvl w:val="1"/>
          <w:numId w:val="17"/>
        </w:numPr>
        <w:jc w:val="both"/>
        <w:rPr>
          <w:rFonts w:ascii="Verdana" w:eastAsia="Verdana" w:hAnsi="Verdana" w:cs="Verdana"/>
          <w:sz w:val="22"/>
          <w:szCs w:val="22"/>
        </w:rPr>
      </w:pPr>
      <w:r w:rsidRPr="00024171">
        <w:rPr>
          <w:rFonts w:ascii="Verdana" w:eastAsia="Verdana" w:hAnsi="Verdana" w:cs="Verdana"/>
          <w:sz w:val="22"/>
          <w:szCs w:val="22"/>
        </w:rPr>
        <w:t>R</w:t>
      </w:r>
      <w:r w:rsidR="0034727B" w:rsidRPr="00024171">
        <w:rPr>
          <w:rFonts w:ascii="Verdana" w:eastAsia="Verdana" w:hAnsi="Verdana" w:cs="Verdana"/>
          <w:sz w:val="22"/>
          <w:szCs w:val="22"/>
        </w:rPr>
        <w:t>evisión del alcance de la coordinación de los centros de control de los OR</w:t>
      </w:r>
      <w:r w:rsidR="00F62B4B" w:rsidRPr="00024171">
        <w:rPr>
          <w:rFonts w:ascii="Verdana" w:eastAsia="Verdana" w:hAnsi="Verdana" w:cs="Verdana"/>
          <w:sz w:val="22"/>
          <w:szCs w:val="22"/>
        </w:rPr>
        <w:t xml:space="preserve"> de los SAEB,</w:t>
      </w:r>
      <w:r w:rsidR="0034727B" w:rsidRPr="00024171">
        <w:rPr>
          <w:rFonts w:ascii="Verdana" w:eastAsia="Verdana" w:hAnsi="Verdana" w:cs="Verdana"/>
          <w:sz w:val="22"/>
          <w:szCs w:val="22"/>
        </w:rPr>
        <w:t xml:space="preserve"> por la probabilidad de afectación de la calidad del servicio.</w:t>
      </w:r>
    </w:p>
    <w:p w14:paraId="78061312" w14:textId="77777777" w:rsidR="001D1DF8" w:rsidRPr="00024171" w:rsidRDefault="001D1DF8" w:rsidP="00024171">
      <w:pPr>
        <w:pStyle w:val="Prrafodelista"/>
        <w:ind w:left="1080"/>
        <w:jc w:val="both"/>
        <w:rPr>
          <w:rFonts w:ascii="Verdana" w:eastAsia="Verdana" w:hAnsi="Verdana" w:cs="Verdana"/>
          <w:sz w:val="22"/>
          <w:szCs w:val="22"/>
        </w:rPr>
      </w:pPr>
    </w:p>
    <w:p w14:paraId="50E4E099" w14:textId="7E92300C" w:rsidR="00185CE1" w:rsidRPr="00024171" w:rsidRDefault="00024171" w:rsidP="00024171">
      <w:pPr>
        <w:pStyle w:val="Prrafodelista"/>
        <w:numPr>
          <w:ilvl w:val="1"/>
          <w:numId w:val="17"/>
        </w:numPr>
        <w:jc w:val="both"/>
        <w:rPr>
          <w:rFonts w:ascii="Verdana" w:eastAsia="Verdana" w:hAnsi="Verdana" w:cs="Verdana"/>
          <w:sz w:val="22"/>
          <w:szCs w:val="22"/>
        </w:rPr>
      </w:pPr>
      <w:r>
        <w:rPr>
          <w:rFonts w:ascii="Verdana" w:eastAsia="Verdana" w:hAnsi="Verdana" w:cs="Verdana"/>
          <w:sz w:val="22"/>
          <w:szCs w:val="22"/>
        </w:rPr>
        <w:t>N</w:t>
      </w:r>
      <w:r w:rsidR="001D1DF8" w:rsidRPr="00024171">
        <w:rPr>
          <w:rFonts w:ascii="Verdana" w:eastAsia="Verdana" w:hAnsi="Verdana" w:cs="Verdana"/>
          <w:sz w:val="22"/>
          <w:szCs w:val="22"/>
        </w:rPr>
        <w:t>o posibilitar más funciones a los dispositivos SAEB</w:t>
      </w:r>
      <w:r w:rsidR="001D1DF8" w:rsidRPr="00052450">
        <w:rPr>
          <w:rFonts w:ascii="Verdana" w:eastAsia="Verdana" w:hAnsi="Verdana" w:cs="Verdana"/>
          <w:sz w:val="22"/>
          <w:szCs w:val="22"/>
        </w:rPr>
        <w:t xml:space="preserve"> (beneficios marginales </w:t>
      </w:r>
      <w:r w:rsidR="00D15C4E">
        <w:rPr>
          <w:rFonts w:ascii="Verdana" w:eastAsia="Verdana" w:hAnsi="Verdana" w:cs="Verdana"/>
          <w:sz w:val="22"/>
          <w:szCs w:val="22"/>
        </w:rPr>
        <w:t>u</w:t>
      </w:r>
      <w:r w:rsidR="001D1DF8" w:rsidRPr="00052450">
        <w:rPr>
          <w:rFonts w:ascii="Verdana" w:eastAsia="Verdana" w:hAnsi="Verdana" w:cs="Verdana"/>
          <w:sz w:val="22"/>
          <w:szCs w:val="22"/>
        </w:rPr>
        <w:t>na vez se cumpla la vida útil de las baterías)</w:t>
      </w:r>
      <w:r w:rsidR="001D1DF8" w:rsidRPr="00024171">
        <w:rPr>
          <w:rFonts w:ascii="Verdana" w:eastAsia="Verdana" w:hAnsi="Verdana" w:cs="Verdana"/>
          <w:sz w:val="22"/>
          <w:szCs w:val="22"/>
        </w:rPr>
        <w:t>.</w:t>
      </w:r>
    </w:p>
    <w:p w14:paraId="67C23B59" w14:textId="77777777" w:rsidR="0020013A" w:rsidRPr="00052450" w:rsidRDefault="0020013A" w:rsidP="00024171">
      <w:pPr>
        <w:pStyle w:val="Prrafodelista"/>
        <w:ind w:left="360"/>
        <w:jc w:val="both"/>
        <w:rPr>
          <w:rFonts w:ascii="Verdana" w:hAnsi="Verdana"/>
          <w:bCs/>
          <w:sz w:val="22"/>
          <w:szCs w:val="22"/>
        </w:rPr>
      </w:pPr>
    </w:p>
    <w:p w14:paraId="77349AB6" w14:textId="3C130038" w:rsidR="00185CE1" w:rsidRPr="00024171" w:rsidRDefault="00FF6F84" w:rsidP="00024171">
      <w:pPr>
        <w:pStyle w:val="Prrafodelista"/>
        <w:numPr>
          <w:ilvl w:val="0"/>
          <w:numId w:val="17"/>
        </w:numPr>
        <w:jc w:val="both"/>
        <w:rPr>
          <w:rFonts w:ascii="Verdana" w:hAnsi="Verdana"/>
          <w:bCs/>
          <w:sz w:val="22"/>
          <w:szCs w:val="22"/>
        </w:rPr>
      </w:pPr>
      <w:r w:rsidRPr="00052450">
        <w:rPr>
          <w:rFonts w:ascii="Verdana" w:hAnsi="Verdana"/>
          <w:bCs/>
          <w:sz w:val="22"/>
          <w:szCs w:val="22"/>
        </w:rPr>
        <w:t>E</w:t>
      </w:r>
      <w:r w:rsidR="0008226B" w:rsidRPr="00052450">
        <w:rPr>
          <w:rFonts w:ascii="Verdana" w:hAnsi="Verdana"/>
          <w:bCs/>
          <w:sz w:val="22"/>
          <w:szCs w:val="22"/>
        </w:rPr>
        <w:t xml:space="preserve">l Acuerdo </w:t>
      </w:r>
      <w:r w:rsidRPr="00052450">
        <w:rPr>
          <w:rFonts w:ascii="Verdana" w:hAnsi="Verdana"/>
          <w:bCs/>
          <w:sz w:val="22"/>
          <w:szCs w:val="22"/>
        </w:rPr>
        <w:t xml:space="preserve">que reemplaza el 1071 </w:t>
      </w:r>
      <w:r w:rsidR="0008226B" w:rsidRPr="00052450">
        <w:rPr>
          <w:rFonts w:ascii="Verdana" w:hAnsi="Verdana"/>
          <w:bCs/>
          <w:sz w:val="22"/>
          <w:szCs w:val="22"/>
        </w:rPr>
        <w:t>se</w:t>
      </w:r>
      <w:r w:rsidR="003A7EEB" w:rsidRPr="00052450">
        <w:rPr>
          <w:rFonts w:ascii="Verdana" w:hAnsi="Verdana"/>
          <w:bCs/>
          <w:sz w:val="22"/>
          <w:szCs w:val="22"/>
        </w:rPr>
        <w:t xml:space="preserve"> </w:t>
      </w:r>
      <w:r w:rsidR="005B53E6" w:rsidRPr="00052450">
        <w:rPr>
          <w:rFonts w:ascii="Verdana" w:hAnsi="Verdana"/>
          <w:bCs/>
          <w:sz w:val="22"/>
          <w:szCs w:val="22"/>
        </w:rPr>
        <w:t>est</w:t>
      </w:r>
      <w:r w:rsidR="00282C44" w:rsidRPr="00052450">
        <w:rPr>
          <w:rFonts w:ascii="Verdana" w:hAnsi="Verdana"/>
          <w:bCs/>
          <w:sz w:val="22"/>
          <w:szCs w:val="22"/>
        </w:rPr>
        <w:t>á</w:t>
      </w:r>
      <w:r w:rsidR="005B53E6" w:rsidRPr="00052450">
        <w:rPr>
          <w:rFonts w:ascii="Verdana" w:hAnsi="Verdana"/>
          <w:bCs/>
          <w:sz w:val="22"/>
          <w:szCs w:val="22"/>
        </w:rPr>
        <w:t xml:space="preserve"> </w:t>
      </w:r>
      <w:r w:rsidR="00867A24" w:rsidRPr="00052450">
        <w:rPr>
          <w:rFonts w:ascii="Verdana" w:hAnsi="Verdana"/>
          <w:bCs/>
          <w:sz w:val="22"/>
          <w:szCs w:val="22"/>
        </w:rPr>
        <w:t xml:space="preserve">revisando </w:t>
      </w:r>
      <w:r w:rsidR="005B53E6" w:rsidRPr="00052450">
        <w:rPr>
          <w:rFonts w:ascii="Verdana" w:hAnsi="Verdana"/>
          <w:bCs/>
          <w:sz w:val="22"/>
          <w:szCs w:val="22"/>
        </w:rPr>
        <w:t xml:space="preserve">en el </w:t>
      </w:r>
      <w:r w:rsidR="00867A24" w:rsidRPr="00052450">
        <w:rPr>
          <w:rFonts w:ascii="Verdana" w:hAnsi="Verdana"/>
          <w:bCs/>
          <w:sz w:val="22"/>
          <w:szCs w:val="22"/>
        </w:rPr>
        <w:t>Subcomité de Protecciones</w:t>
      </w:r>
      <w:r w:rsidR="005B53E6" w:rsidRPr="00052450">
        <w:rPr>
          <w:rFonts w:ascii="Verdana" w:hAnsi="Verdana"/>
          <w:bCs/>
          <w:sz w:val="22"/>
          <w:szCs w:val="22"/>
        </w:rPr>
        <w:t>, por lo que, una vez recomendado por el Comité de Operación, se convocará un CNO no presencial para su aprobación.</w:t>
      </w:r>
      <w:r w:rsidR="00867A24" w:rsidRPr="00052450">
        <w:rPr>
          <w:rFonts w:ascii="Verdana" w:hAnsi="Verdana"/>
          <w:bCs/>
          <w:sz w:val="22"/>
          <w:szCs w:val="22"/>
        </w:rPr>
        <w:t xml:space="preserve"> De manera resumida se plantean </w:t>
      </w:r>
      <w:r w:rsidR="00C10998" w:rsidRPr="00052450">
        <w:rPr>
          <w:rFonts w:ascii="Verdana" w:hAnsi="Verdana"/>
          <w:bCs/>
          <w:sz w:val="22"/>
          <w:szCs w:val="22"/>
        </w:rPr>
        <w:t>para tres rangos de capacidad de Generación Distribuida y Autogeneración a Pequeña y Gran Escala</w:t>
      </w:r>
      <w:r w:rsidR="00611156" w:rsidRPr="00052450">
        <w:rPr>
          <w:rFonts w:ascii="Verdana" w:hAnsi="Verdana"/>
          <w:bCs/>
          <w:sz w:val="22"/>
          <w:szCs w:val="22"/>
        </w:rPr>
        <w:t xml:space="preserve"> (0-250 kW, 250-1000 KW y más de 1000 kW)</w:t>
      </w:r>
      <w:r w:rsidR="00C10998" w:rsidRPr="00052450">
        <w:rPr>
          <w:rFonts w:ascii="Verdana" w:hAnsi="Verdana"/>
          <w:bCs/>
          <w:sz w:val="22"/>
          <w:szCs w:val="22"/>
        </w:rPr>
        <w:t>, fu</w:t>
      </w:r>
      <w:r w:rsidR="00611156" w:rsidRPr="00052450">
        <w:rPr>
          <w:rFonts w:ascii="Verdana" w:hAnsi="Verdana"/>
          <w:bCs/>
          <w:sz w:val="22"/>
          <w:szCs w:val="22"/>
        </w:rPr>
        <w:t xml:space="preserve">nciones de protección que pueden cumplirse a nivel de inversor o </w:t>
      </w:r>
      <w:r w:rsidR="00292DBE">
        <w:rPr>
          <w:rFonts w:ascii="Verdana" w:hAnsi="Verdana"/>
          <w:bCs/>
          <w:sz w:val="22"/>
          <w:szCs w:val="22"/>
        </w:rPr>
        <w:t xml:space="preserve">en </w:t>
      </w:r>
      <w:r w:rsidR="00611156" w:rsidRPr="00052450">
        <w:rPr>
          <w:rFonts w:ascii="Verdana" w:hAnsi="Verdana"/>
          <w:bCs/>
          <w:sz w:val="22"/>
          <w:szCs w:val="22"/>
        </w:rPr>
        <w:t>el punto de conexión.</w:t>
      </w:r>
      <w:r w:rsidR="00867A24" w:rsidRPr="00052450">
        <w:rPr>
          <w:rFonts w:ascii="Verdana" w:hAnsi="Verdana"/>
          <w:bCs/>
          <w:sz w:val="22"/>
          <w:szCs w:val="22"/>
        </w:rPr>
        <w:t xml:space="preserve"> </w:t>
      </w:r>
    </w:p>
    <w:p w14:paraId="45B3F6B6" w14:textId="77777777" w:rsidR="00185CE1" w:rsidRPr="00052450" w:rsidRDefault="00185CE1">
      <w:pPr>
        <w:pStyle w:val="Prrafodelista"/>
        <w:jc w:val="both"/>
        <w:rPr>
          <w:rFonts w:ascii="Verdana" w:hAnsi="Verdana"/>
          <w:bCs/>
          <w:sz w:val="22"/>
          <w:szCs w:val="22"/>
        </w:rPr>
      </w:pPr>
    </w:p>
    <w:p w14:paraId="44D0BFC9" w14:textId="6A17DCCA" w:rsidR="00E358A5" w:rsidRPr="00052450" w:rsidRDefault="003A7EEB">
      <w:pPr>
        <w:pStyle w:val="Prrafodelista"/>
        <w:numPr>
          <w:ilvl w:val="0"/>
          <w:numId w:val="17"/>
        </w:numPr>
        <w:jc w:val="both"/>
        <w:rPr>
          <w:rFonts w:ascii="Verdana" w:hAnsi="Verdana"/>
          <w:bCs/>
          <w:sz w:val="22"/>
          <w:szCs w:val="22"/>
        </w:rPr>
      </w:pPr>
      <w:r w:rsidRPr="00052450">
        <w:rPr>
          <w:rFonts w:ascii="Verdana" w:hAnsi="Verdana"/>
          <w:bCs/>
          <w:sz w:val="22"/>
          <w:szCs w:val="22"/>
        </w:rPr>
        <w:t xml:space="preserve">Las </w:t>
      </w:r>
      <w:r w:rsidR="009A5E50" w:rsidRPr="00052450">
        <w:rPr>
          <w:rFonts w:ascii="Verdana" w:hAnsi="Verdana"/>
          <w:bCs/>
          <w:sz w:val="22"/>
          <w:szCs w:val="22"/>
        </w:rPr>
        <w:t xml:space="preserve">observaciones a la consultoría técnica sobre la actualización del </w:t>
      </w:r>
      <w:r w:rsidR="00E133A3" w:rsidRPr="00052450">
        <w:rPr>
          <w:rFonts w:ascii="Verdana" w:hAnsi="Verdana"/>
          <w:bCs/>
          <w:sz w:val="22"/>
          <w:szCs w:val="22"/>
        </w:rPr>
        <w:t>C</w:t>
      </w:r>
      <w:r w:rsidR="009A5E50" w:rsidRPr="00052450">
        <w:rPr>
          <w:rFonts w:ascii="Verdana" w:hAnsi="Verdana"/>
          <w:bCs/>
          <w:sz w:val="22"/>
          <w:szCs w:val="22"/>
        </w:rPr>
        <w:t>ódigo de Redes</w:t>
      </w:r>
      <w:r w:rsidRPr="00052450">
        <w:rPr>
          <w:rFonts w:ascii="Verdana" w:hAnsi="Verdana"/>
          <w:bCs/>
          <w:sz w:val="22"/>
          <w:szCs w:val="22"/>
        </w:rPr>
        <w:t xml:space="preserve"> se </w:t>
      </w:r>
      <w:r w:rsidR="005B53E6" w:rsidRPr="00052450">
        <w:rPr>
          <w:rFonts w:ascii="Verdana" w:hAnsi="Verdana"/>
          <w:bCs/>
          <w:sz w:val="22"/>
          <w:szCs w:val="22"/>
        </w:rPr>
        <w:t>enviaron el</w:t>
      </w:r>
      <w:r w:rsidRPr="00052450">
        <w:rPr>
          <w:rFonts w:ascii="Verdana" w:hAnsi="Verdana"/>
          <w:bCs/>
          <w:sz w:val="22"/>
          <w:szCs w:val="22"/>
        </w:rPr>
        <w:t xml:space="preserve"> pasado </w:t>
      </w:r>
      <w:r w:rsidR="009A5E50" w:rsidRPr="00052450">
        <w:rPr>
          <w:rFonts w:ascii="Verdana" w:hAnsi="Verdana"/>
          <w:bCs/>
          <w:sz w:val="22"/>
          <w:szCs w:val="22"/>
        </w:rPr>
        <w:t>2</w:t>
      </w:r>
      <w:r w:rsidRPr="00052450">
        <w:rPr>
          <w:rFonts w:ascii="Verdana" w:hAnsi="Verdana"/>
          <w:bCs/>
          <w:sz w:val="22"/>
          <w:szCs w:val="22"/>
        </w:rPr>
        <w:t>6</w:t>
      </w:r>
      <w:r w:rsidR="009A5E50" w:rsidRPr="00052450">
        <w:rPr>
          <w:rFonts w:ascii="Verdana" w:hAnsi="Verdana"/>
          <w:bCs/>
          <w:sz w:val="22"/>
          <w:szCs w:val="22"/>
        </w:rPr>
        <w:t xml:space="preserve"> de noviembre</w:t>
      </w:r>
      <w:r w:rsidR="002906DE" w:rsidRPr="00052450">
        <w:rPr>
          <w:rFonts w:ascii="Verdana" w:hAnsi="Verdana"/>
          <w:bCs/>
          <w:sz w:val="22"/>
          <w:szCs w:val="22"/>
        </w:rPr>
        <w:t xml:space="preserve">. </w:t>
      </w:r>
      <w:r w:rsidR="00E358A5" w:rsidRPr="00052450">
        <w:rPr>
          <w:rFonts w:ascii="Verdana" w:hAnsi="Verdana"/>
          <w:bCs/>
          <w:sz w:val="22"/>
          <w:szCs w:val="22"/>
        </w:rPr>
        <w:t>Los comentarios</w:t>
      </w:r>
      <w:r w:rsidR="002906DE" w:rsidRPr="00052450">
        <w:rPr>
          <w:rFonts w:ascii="Verdana" w:hAnsi="Verdana"/>
          <w:bCs/>
          <w:sz w:val="22"/>
          <w:szCs w:val="22"/>
        </w:rPr>
        <w:t xml:space="preserve"> se enmarcaron en llamar la atención sobre la no formulación de una </w:t>
      </w:r>
      <w:r w:rsidR="00E358A5" w:rsidRPr="00052450">
        <w:rPr>
          <w:rFonts w:ascii="Verdana" w:hAnsi="Verdana"/>
          <w:bCs/>
          <w:sz w:val="22"/>
          <w:szCs w:val="22"/>
        </w:rPr>
        <w:t>propuesta para actualizar</w:t>
      </w:r>
      <w:r w:rsidR="002906DE" w:rsidRPr="00052450">
        <w:rPr>
          <w:rFonts w:ascii="Verdana" w:hAnsi="Verdana"/>
          <w:bCs/>
          <w:sz w:val="22"/>
          <w:szCs w:val="22"/>
        </w:rPr>
        <w:t xml:space="preserve"> el Código de Operación</w:t>
      </w:r>
      <w:r w:rsidR="00E358A5" w:rsidRPr="00052450">
        <w:rPr>
          <w:rFonts w:ascii="Verdana" w:hAnsi="Verdana"/>
          <w:bCs/>
          <w:sz w:val="22"/>
          <w:szCs w:val="22"/>
        </w:rPr>
        <w:t>,</w:t>
      </w:r>
      <w:r w:rsidR="002906DE" w:rsidRPr="00052450">
        <w:rPr>
          <w:rFonts w:ascii="Verdana" w:hAnsi="Verdana"/>
          <w:bCs/>
          <w:sz w:val="22"/>
          <w:szCs w:val="22"/>
        </w:rPr>
        <w:t xml:space="preserve"> y la no inclusión de los aspectos antes referenciados y recomendados por el Consejo a la CREG</w:t>
      </w:r>
      <w:r w:rsidR="00E358A5" w:rsidRPr="00052450">
        <w:rPr>
          <w:rFonts w:ascii="Verdana" w:hAnsi="Verdana"/>
          <w:bCs/>
          <w:sz w:val="22"/>
          <w:szCs w:val="22"/>
        </w:rPr>
        <w:t xml:space="preserve"> para los Códigos de Planeación y Conexión. Adicionalmente, se está formulando una comunicación conjunta CNO-CND-UPME para alertar sobre la estructura del futuro Código de Redes, ya que, además de la no incorporación de elementos previamente sugeridos, no se </w:t>
      </w:r>
      <w:r w:rsidR="0026220B" w:rsidRPr="00052450">
        <w:rPr>
          <w:rFonts w:ascii="Verdana" w:hAnsi="Verdana"/>
          <w:bCs/>
          <w:sz w:val="22"/>
          <w:szCs w:val="22"/>
        </w:rPr>
        <w:t>observa</w:t>
      </w:r>
      <w:r w:rsidR="00E358A5" w:rsidRPr="00052450">
        <w:rPr>
          <w:rFonts w:ascii="Verdana" w:hAnsi="Verdana"/>
          <w:bCs/>
          <w:sz w:val="22"/>
          <w:szCs w:val="22"/>
        </w:rPr>
        <w:t xml:space="preserve"> una articulación con </w:t>
      </w:r>
      <w:r w:rsidR="00024171" w:rsidRPr="00052450">
        <w:rPr>
          <w:rFonts w:ascii="Verdana" w:hAnsi="Verdana"/>
          <w:bCs/>
          <w:sz w:val="22"/>
          <w:szCs w:val="22"/>
        </w:rPr>
        <w:t>las otras consultorías contratadas</w:t>
      </w:r>
      <w:r w:rsidR="00E358A5" w:rsidRPr="00052450">
        <w:rPr>
          <w:rFonts w:ascii="Verdana" w:hAnsi="Verdana"/>
          <w:bCs/>
          <w:sz w:val="22"/>
          <w:szCs w:val="22"/>
        </w:rPr>
        <w:t xml:space="preserve"> por la CREG (servicios complementarios, mercado intradiario y despacho vinculante, Revisión E&amp;Y Código de Redes e indicadores de seguimiento </w:t>
      </w:r>
      <w:r w:rsidR="00E2022B">
        <w:rPr>
          <w:rFonts w:ascii="Verdana" w:hAnsi="Verdana"/>
          <w:bCs/>
          <w:sz w:val="22"/>
          <w:szCs w:val="22"/>
        </w:rPr>
        <w:t xml:space="preserve">a la </w:t>
      </w:r>
      <w:r w:rsidR="00E358A5" w:rsidRPr="00052450">
        <w:rPr>
          <w:rFonts w:ascii="Verdana" w:hAnsi="Verdana"/>
          <w:bCs/>
          <w:sz w:val="22"/>
          <w:szCs w:val="22"/>
        </w:rPr>
        <w:t>Generación Distribuida-GD)</w:t>
      </w:r>
      <w:r w:rsidRPr="00052450">
        <w:rPr>
          <w:rFonts w:ascii="Verdana" w:hAnsi="Verdana"/>
          <w:bCs/>
          <w:sz w:val="22"/>
          <w:szCs w:val="22"/>
        </w:rPr>
        <w:t>.</w:t>
      </w:r>
    </w:p>
    <w:p w14:paraId="007D18DB" w14:textId="084D2E09" w:rsidR="00E358A5" w:rsidRPr="00052450" w:rsidRDefault="00E358A5">
      <w:pPr>
        <w:pStyle w:val="Prrafodelista"/>
        <w:ind w:left="360"/>
        <w:jc w:val="both"/>
        <w:rPr>
          <w:rFonts w:ascii="Verdana" w:hAnsi="Verdana"/>
          <w:bCs/>
          <w:sz w:val="22"/>
          <w:szCs w:val="22"/>
        </w:rPr>
      </w:pPr>
    </w:p>
    <w:p w14:paraId="13EBD614" w14:textId="6EE6334B" w:rsidR="00E358A5" w:rsidRPr="00052450" w:rsidRDefault="00E358A5">
      <w:pPr>
        <w:pStyle w:val="Prrafodelista"/>
        <w:ind w:left="360"/>
        <w:jc w:val="both"/>
        <w:rPr>
          <w:rFonts w:ascii="Verdana" w:hAnsi="Verdana"/>
          <w:bCs/>
          <w:sz w:val="22"/>
          <w:szCs w:val="22"/>
        </w:rPr>
      </w:pPr>
      <w:r w:rsidRPr="00052450">
        <w:rPr>
          <w:rFonts w:ascii="Verdana" w:hAnsi="Verdana"/>
          <w:bCs/>
          <w:sz w:val="22"/>
          <w:szCs w:val="22"/>
        </w:rPr>
        <w:t xml:space="preserve">Respecto a </w:t>
      </w:r>
      <w:r w:rsidR="0026220B" w:rsidRPr="00052450">
        <w:rPr>
          <w:rFonts w:ascii="Verdana" w:hAnsi="Verdana"/>
          <w:bCs/>
          <w:sz w:val="22"/>
          <w:szCs w:val="22"/>
        </w:rPr>
        <w:t>los comentarios</w:t>
      </w:r>
      <w:r w:rsidRPr="00052450">
        <w:rPr>
          <w:rFonts w:ascii="Verdana" w:hAnsi="Verdana"/>
          <w:bCs/>
          <w:sz w:val="22"/>
          <w:szCs w:val="22"/>
        </w:rPr>
        <w:t xml:space="preserve"> del CNO, la comunicación enviada y </w:t>
      </w:r>
      <w:r w:rsidR="0026220B" w:rsidRPr="00052450">
        <w:rPr>
          <w:rFonts w:ascii="Verdana" w:hAnsi="Verdana"/>
          <w:bCs/>
          <w:sz w:val="22"/>
          <w:szCs w:val="22"/>
        </w:rPr>
        <w:t>las observaciones de detalle pueden ser consultadas en la página web del Consejo.</w:t>
      </w:r>
      <w:r w:rsidRPr="00052450">
        <w:rPr>
          <w:rFonts w:ascii="Verdana" w:hAnsi="Verdana"/>
          <w:bCs/>
          <w:sz w:val="22"/>
          <w:szCs w:val="22"/>
        </w:rPr>
        <w:t xml:space="preserve"> </w:t>
      </w:r>
      <w:r w:rsidR="005814CA" w:rsidRPr="00052450">
        <w:rPr>
          <w:rFonts w:ascii="Verdana" w:hAnsi="Verdana"/>
          <w:bCs/>
          <w:sz w:val="22"/>
          <w:szCs w:val="22"/>
        </w:rPr>
        <w:t xml:space="preserve">Los </w:t>
      </w:r>
      <w:r w:rsidR="00FB19C8" w:rsidRPr="00052450">
        <w:rPr>
          <w:rFonts w:ascii="Verdana" w:hAnsi="Verdana"/>
          <w:bCs/>
          <w:sz w:val="22"/>
          <w:szCs w:val="22"/>
        </w:rPr>
        <w:t xml:space="preserve">principales </w:t>
      </w:r>
      <w:r w:rsidR="005814CA" w:rsidRPr="00052450">
        <w:rPr>
          <w:rFonts w:ascii="Verdana" w:hAnsi="Verdana"/>
          <w:bCs/>
          <w:sz w:val="22"/>
          <w:szCs w:val="22"/>
        </w:rPr>
        <w:t>ejes temáticos fueron los siguientes:</w:t>
      </w:r>
    </w:p>
    <w:p w14:paraId="6DC30F79" w14:textId="77777777" w:rsidR="005814CA" w:rsidRPr="00052450" w:rsidRDefault="005814CA">
      <w:pPr>
        <w:pStyle w:val="Prrafodelista"/>
        <w:ind w:left="360"/>
        <w:jc w:val="both"/>
        <w:rPr>
          <w:rFonts w:ascii="Verdana" w:hAnsi="Verdana"/>
          <w:bCs/>
          <w:sz w:val="22"/>
          <w:szCs w:val="22"/>
        </w:rPr>
      </w:pPr>
    </w:p>
    <w:p w14:paraId="3E3CE68E" w14:textId="77777777" w:rsidR="005814CA" w:rsidRPr="00052450" w:rsidRDefault="005814CA">
      <w:pPr>
        <w:pStyle w:val="Prrafodelista"/>
        <w:numPr>
          <w:ilvl w:val="1"/>
          <w:numId w:val="17"/>
        </w:numPr>
        <w:jc w:val="both"/>
        <w:rPr>
          <w:rFonts w:ascii="Verdana" w:hAnsi="Verdana"/>
          <w:bCs/>
          <w:sz w:val="22"/>
          <w:szCs w:val="22"/>
        </w:rPr>
      </w:pPr>
      <w:r w:rsidRPr="00052450">
        <w:rPr>
          <w:rFonts w:ascii="Verdana" w:hAnsi="Verdana"/>
          <w:bCs/>
          <w:sz w:val="22"/>
          <w:szCs w:val="22"/>
        </w:rPr>
        <w:t>Red degradada.</w:t>
      </w:r>
    </w:p>
    <w:p w14:paraId="1452A1EB" w14:textId="77777777" w:rsidR="005814CA" w:rsidRPr="00052450" w:rsidRDefault="005814CA">
      <w:pPr>
        <w:pStyle w:val="Prrafodelista"/>
        <w:numPr>
          <w:ilvl w:val="1"/>
          <w:numId w:val="17"/>
        </w:numPr>
        <w:jc w:val="both"/>
        <w:rPr>
          <w:rFonts w:ascii="Verdana" w:hAnsi="Verdana"/>
          <w:bCs/>
          <w:sz w:val="22"/>
          <w:szCs w:val="22"/>
        </w:rPr>
      </w:pPr>
      <w:r w:rsidRPr="00052450">
        <w:rPr>
          <w:rFonts w:ascii="Verdana" w:hAnsi="Verdana"/>
          <w:bCs/>
          <w:sz w:val="22"/>
          <w:szCs w:val="22"/>
        </w:rPr>
        <w:t>Eventos en super-componentes y gestión de los mismos.</w:t>
      </w:r>
    </w:p>
    <w:p w14:paraId="4903C2BB" w14:textId="723DFFE6" w:rsidR="005814CA" w:rsidRPr="00052450" w:rsidRDefault="005814CA">
      <w:pPr>
        <w:pStyle w:val="Prrafodelista"/>
        <w:numPr>
          <w:ilvl w:val="1"/>
          <w:numId w:val="17"/>
        </w:numPr>
        <w:jc w:val="both"/>
        <w:rPr>
          <w:rFonts w:ascii="Verdana" w:hAnsi="Verdana"/>
          <w:bCs/>
          <w:sz w:val="22"/>
          <w:szCs w:val="22"/>
        </w:rPr>
      </w:pPr>
      <w:r w:rsidRPr="00052450">
        <w:rPr>
          <w:rFonts w:ascii="Verdana" w:hAnsi="Verdana"/>
          <w:bCs/>
          <w:sz w:val="22"/>
          <w:szCs w:val="22"/>
        </w:rPr>
        <w:t>Inflexibilidades del parque de generación convencional para cuantificar beneficios</w:t>
      </w:r>
      <w:r w:rsidR="00FB19C8" w:rsidRPr="00052450">
        <w:rPr>
          <w:rFonts w:ascii="Verdana" w:hAnsi="Verdana"/>
          <w:bCs/>
          <w:sz w:val="22"/>
          <w:szCs w:val="22"/>
        </w:rPr>
        <w:t xml:space="preserve"> de proyectos de transmisión, cuando estos reducen generación de seguridad</w:t>
      </w:r>
      <w:r w:rsidRPr="00052450">
        <w:rPr>
          <w:rFonts w:ascii="Verdana" w:hAnsi="Verdana"/>
          <w:bCs/>
          <w:sz w:val="22"/>
          <w:szCs w:val="22"/>
        </w:rPr>
        <w:t>.</w:t>
      </w:r>
    </w:p>
    <w:p w14:paraId="24C001DB" w14:textId="77777777" w:rsidR="005814CA" w:rsidRPr="00052450" w:rsidRDefault="005814CA">
      <w:pPr>
        <w:pStyle w:val="Prrafodelista"/>
        <w:numPr>
          <w:ilvl w:val="1"/>
          <w:numId w:val="17"/>
        </w:numPr>
        <w:jc w:val="both"/>
        <w:rPr>
          <w:rFonts w:ascii="Verdana" w:hAnsi="Verdana"/>
          <w:bCs/>
          <w:sz w:val="22"/>
          <w:szCs w:val="22"/>
        </w:rPr>
      </w:pPr>
      <w:r w:rsidRPr="00052450">
        <w:rPr>
          <w:rFonts w:ascii="Verdana" w:hAnsi="Verdana"/>
          <w:bCs/>
          <w:sz w:val="22"/>
          <w:szCs w:val="22"/>
        </w:rPr>
        <w:t>Límites de sobrecarga.</w:t>
      </w:r>
    </w:p>
    <w:p w14:paraId="5AB995FE" w14:textId="77777777" w:rsidR="005814CA" w:rsidRPr="00052450" w:rsidRDefault="005814CA">
      <w:pPr>
        <w:pStyle w:val="Prrafodelista"/>
        <w:numPr>
          <w:ilvl w:val="1"/>
          <w:numId w:val="17"/>
        </w:numPr>
        <w:jc w:val="both"/>
        <w:rPr>
          <w:rFonts w:ascii="Verdana" w:hAnsi="Verdana"/>
          <w:bCs/>
          <w:sz w:val="22"/>
          <w:szCs w:val="22"/>
        </w:rPr>
      </w:pPr>
      <w:r w:rsidRPr="00052450">
        <w:rPr>
          <w:rFonts w:ascii="Verdana" w:hAnsi="Verdana"/>
          <w:bCs/>
          <w:sz w:val="22"/>
          <w:szCs w:val="22"/>
        </w:rPr>
        <w:t>C</w:t>
      </w:r>
      <w:r w:rsidRPr="00024171">
        <w:rPr>
          <w:rFonts w:ascii="Verdana" w:hAnsi="Verdana"/>
          <w:bCs/>
          <w:sz w:val="22"/>
          <w:szCs w:val="22"/>
        </w:rPr>
        <w:t>ostos de racionamiento y selección del escalón correspondiente</w:t>
      </w:r>
      <w:r w:rsidRPr="00052450">
        <w:rPr>
          <w:rFonts w:ascii="Verdana" w:hAnsi="Verdana"/>
          <w:bCs/>
          <w:sz w:val="22"/>
          <w:szCs w:val="22"/>
        </w:rPr>
        <w:t>.</w:t>
      </w:r>
    </w:p>
    <w:p w14:paraId="22334F78" w14:textId="77777777" w:rsidR="005814CA" w:rsidRPr="00052450" w:rsidRDefault="005814CA">
      <w:pPr>
        <w:pStyle w:val="Prrafodelista"/>
        <w:numPr>
          <w:ilvl w:val="1"/>
          <w:numId w:val="17"/>
        </w:numPr>
        <w:jc w:val="both"/>
        <w:rPr>
          <w:rFonts w:ascii="Verdana" w:hAnsi="Verdana"/>
          <w:bCs/>
          <w:sz w:val="22"/>
          <w:szCs w:val="22"/>
        </w:rPr>
      </w:pPr>
      <w:r w:rsidRPr="00024171">
        <w:rPr>
          <w:rFonts w:ascii="Verdana" w:hAnsi="Verdana"/>
          <w:bCs/>
          <w:sz w:val="22"/>
          <w:szCs w:val="22"/>
        </w:rPr>
        <w:t>Código de Planeamiento indicativo de la generación</w:t>
      </w:r>
      <w:r w:rsidRPr="00052450">
        <w:rPr>
          <w:rFonts w:ascii="Verdana" w:hAnsi="Verdana"/>
          <w:bCs/>
          <w:sz w:val="22"/>
          <w:szCs w:val="22"/>
        </w:rPr>
        <w:t>.</w:t>
      </w:r>
    </w:p>
    <w:p w14:paraId="1359DD0F" w14:textId="77777777" w:rsidR="005814CA" w:rsidRPr="00052450" w:rsidRDefault="005814CA">
      <w:pPr>
        <w:pStyle w:val="Prrafodelista"/>
        <w:numPr>
          <w:ilvl w:val="1"/>
          <w:numId w:val="17"/>
        </w:numPr>
        <w:jc w:val="both"/>
        <w:rPr>
          <w:rFonts w:ascii="Verdana" w:hAnsi="Verdana"/>
          <w:bCs/>
          <w:sz w:val="22"/>
          <w:szCs w:val="22"/>
        </w:rPr>
      </w:pPr>
      <w:r w:rsidRPr="00052450">
        <w:rPr>
          <w:rFonts w:ascii="Verdana" w:hAnsi="Verdana"/>
          <w:bCs/>
          <w:sz w:val="22"/>
          <w:szCs w:val="22"/>
        </w:rPr>
        <w:t>D</w:t>
      </w:r>
      <w:r w:rsidRPr="00024171">
        <w:rPr>
          <w:rFonts w:ascii="Verdana" w:hAnsi="Verdana"/>
          <w:bCs/>
          <w:sz w:val="22"/>
          <w:szCs w:val="22"/>
        </w:rPr>
        <w:t>efinición de unidades constructivas modulares y desplazables</w:t>
      </w:r>
      <w:r w:rsidRPr="00052450">
        <w:rPr>
          <w:rFonts w:ascii="Verdana" w:hAnsi="Verdana"/>
          <w:bCs/>
          <w:sz w:val="22"/>
          <w:szCs w:val="22"/>
        </w:rPr>
        <w:t>.</w:t>
      </w:r>
    </w:p>
    <w:p w14:paraId="4B9D19BD" w14:textId="77777777" w:rsidR="005814CA" w:rsidRPr="00052450" w:rsidRDefault="005814CA">
      <w:pPr>
        <w:pStyle w:val="Prrafodelista"/>
        <w:numPr>
          <w:ilvl w:val="1"/>
          <w:numId w:val="17"/>
        </w:numPr>
        <w:jc w:val="both"/>
        <w:rPr>
          <w:rFonts w:ascii="Verdana" w:hAnsi="Verdana"/>
          <w:bCs/>
          <w:sz w:val="22"/>
          <w:szCs w:val="22"/>
        </w:rPr>
      </w:pPr>
      <w:r w:rsidRPr="00024171">
        <w:rPr>
          <w:rFonts w:ascii="Verdana" w:hAnsi="Verdana"/>
          <w:bCs/>
          <w:sz w:val="22"/>
          <w:szCs w:val="22"/>
        </w:rPr>
        <w:t>Esquemas Suplementarios de Protección del Sistema-ESPS</w:t>
      </w:r>
      <w:r w:rsidRPr="00052450">
        <w:rPr>
          <w:rFonts w:ascii="Verdana" w:hAnsi="Verdana"/>
          <w:bCs/>
          <w:sz w:val="22"/>
          <w:szCs w:val="22"/>
        </w:rPr>
        <w:t>.</w:t>
      </w:r>
    </w:p>
    <w:p w14:paraId="0E9E7133" w14:textId="5A49AB85" w:rsidR="005814CA" w:rsidRPr="00052450" w:rsidRDefault="005814CA">
      <w:pPr>
        <w:pStyle w:val="Prrafodelista"/>
        <w:numPr>
          <w:ilvl w:val="1"/>
          <w:numId w:val="17"/>
        </w:numPr>
        <w:jc w:val="both"/>
        <w:rPr>
          <w:rFonts w:ascii="Verdana" w:hAnsi="Verdana"/>
          <w:bCs/>
          <w:sz w:val="22"/>
          <w:szCs w:val="22"/>
        </w:rPr>
      </w:pPr>
      <w:r w:rsidRPr="00052450">
        <w:rPr>
          <w:rFonts w:ascii="Verdana" w:hAnsi="Verdana"/>
          <w:bCs/>
          <w:sz w:val="22"/>
          <w:szCs w:val="22"/>
        </w:rPr>
        <w:t>I</w:t>
      </w:r>
      <w:r w:rsidRPr="00024171">
        <w:rPr>
          <w:rFonts w:ascii="Verdana" w:hAnsi="Verdana"/>
          <w:bCs/>
          <w:sz w:val="22"/>
          <w:szCs w:val="22"/>
        </w:rPr>
        <w:t>nclusión del atributo de flexibilidad</w:t>
      </w:r>
      <w:r w:rsidR="001D1DF8" w:rsidRPr="00052450">
        <w:rPr>
          <w:rFonts w:ascii="Verdana" w:hAnsi="Verdana"/>
          <w:bCs/>
          <w:sz w:val="22"/>
          <w:szCs w:val="22"/>
        </w:rPr>
        <w:t xml:space="preserve"> en los Códigos de Planeación y Operación</w:t>
      </w:r>
      <w:r w:rsidRPr="00052450">
        <w:rPr>
          <w:rFonts w:ascii="Verdana" w:hAnsi="Verdana"/>
          <w:bCs/>
          <w:sz w:val="22"/>
          <w:szCs w:val="22"/>
        </w:rPr>
        <w:t xml:space="preserve">. </w:t>
      </w:r>
    </w:p>
    <w:p w14:paraId="46CD42EC" w14:textId="55244662" w:rsidR="005814CA" w:rsidRPr="00052450" w:rsidRDefault="005814CA">
      <w:pPr>
        <w:pStyle w:val="Prrafodelista"/>
        <w:numPr>
          <w:ilvl w:val="1"/>
          <w:numId w:val="17"/>
        </w:numPr>
        <w:jc w:val="both"/>
        <w:rPr>
          <w:rFonts w:ascii="Verdana" w:hAnsi="Verdana"/>
          <w:bCs/>
          <w:sz w:val="22"/>
          <w:szCs w:val="22"/>
        </w:rPr>
      </w:pPr>
      <w:r w:rsidRPr="00024171">
        <w:rPr>
          <w:rFonts w:ascii="Verdana" w:hAnsi="Verdana"/>
          <w:bCs/>
          <w:sz w:val="22"/>
          <w:szCs w:val="22"/>
        </w:rPr>
        <w:t>Conexiones en “T”</w:t>
      </w:r>
      <w:r w:rsidR="00FB19C8" w:rsidRPr="00052450">
        <w:rPr>
          <w:rFonts w:ascii="Verdana" w:hAnsi="Verdana"/>
          <w:bCs/>
          <w:sz w:val="22"/>
          <w:szCs w:val="22"/>
        </w:rPr>
        <w:t>.</w:t>
      </w:r>
    </w:p>
    <w:p w14:paraId="6BAD0633" w14:textId="176412EF"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Factor de potencia.</w:t>
      </w:r>
    </w:p>
    <w:p w14:paraId="75371A23" w14:textId="07A3AB62"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 xml:space="preserve">Nivel de cortocircuito y </w:t>
      </w:r>
      <w:r w:rsidR="001D1DF8" w:rsidRPr="00052450">
        <w:rPr>
          <w:rFonts w:ascii="Verdana" w:hAnsi="Verdana"/>
          <w:bCs/>
          <w:sz w:val="22"/>
          <w:szCs w:val="22"/>
        </w:rPr>
        <w:t xml:space="preserve">máximo </w:t>
      </w:r>
      <w:r w:rsidRPr="00052450">
        <w:rPr>
          <w:rFonts w:ascii="Verdana" w:hAnsi="Verdana"/>
          <w:bCs/>
          <w:sz w:val="22"/>
          <w:szCs w:val="22"/>
        </w:rPr>
        <w:t>número de bahías para aprobación de conexiones a subestaciones del STN y STR.</w:t>
      </w:r>
    </w:p>
    <w:p w14:paraId="2F7FD503" w14:textId="48C2A4A6"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lastRenderedPageBreak/>
        <w:t xml:space="preserve">Procedimiento solicitudes de conexión </w:t>
      </w:r>
      <w:r w:rsidR="001D1DF8" w:rsidRPr="00052450">
        <w:rPr>
          <w:rFonts w:ascii="Verdana" w:hAnsi="Verdana"/>
          <w:bCs/>
          <w:sz w:val="22"/>
          <w:szCs w:val="22"/>
        </w:rPr>
        <w:t xml:space="preserve">de </w:t>
      </w:r>
      <w:r w:rsidRPr="00052450">
        <w:rPr>
          <w:rFonts w:ascii="Verdana" w:hAnsi="Verdana"/>
          <w:bCs/>
          <w:sz w:val="22"/>
          <w:szCs w:val="22"/>
        </w:rPr>
        <w:t>grandes usuarios a los STR’s.</w:t>
      </w:r>
    </w:p>
    <w:p w14:paraId="2FCAB8F4" w14:textId="0B6F4415"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Repotenciaciones de activos existentes.</w:t>
      </w:r>
    </w:p>
    <w:p w14:paraId="46939EA3" w14:textId="710F3146"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 xml:space="preserve">Unificación de </w:t>
      </w:r>
      <w:r w:rsidR="001D1DF8" w:rsidRPr="00052450">
        <w:rPr>
          <w:rFonts w:ascii="Verdana" w:hAnsi="Verdana"/>
          <w:bCs/>
          <w:sz w:val="22"/>
          <w:szCs w:val="22"/>
        </w:rPr>
        <w:t xml:space="preserve">los </w:t>
      </w:r>
      <w:r w:rsidRPr="00052450">
        <w:rPr>
          <w:rFonts w:ascii="Verdana" w:hAnsi="Verdana"/>
          <w:bCs/>
          <w:sz w:val="22"/>
          <w:szCs w:val="22"/>
        </w:rPr>
        <w:t xml:space="preserve">criterios de planeamiento con </w:t>
      </w:r>
      <w:r w:rsidR="001D1DF8" w:rsidRPr="00052450">
        <w:rPr>
          <w:rFonts w:ascii="Verdana" w:hAnsi="Verdana"/>
          <w:bCs/>
          <w:sz w:val="22"/>
          <w:szCs w:val="22"/>
        </w:rPr>
        <w:t xml:space="preserve">el </w:t>
      </w:r>
      <w:r w:rsidRPr="00052450">
        <w:rPr>
          <w:rFonts w:ascii="Verdana" w:hAnsi="Verdana"/>
          <w:bCs/>
          <w:sz w:val="22"/>
          <w:szCs w:val="22"/>
        </w:rPr>
        <w:t>Decreto 570 de 2018</w:t>
      </w:r>
      <w:r w:rsidR="001D1DF8" w:rsidRPr="00052450">
        <w:rPr>
          <w:rFonts w:ascii="Verdana" w:hAnsi="Verdana"/>
          <w:bCs/>
          <w:sz w:val="22"/>
          <w:szCs w:val="22"/>
        </w:rPr>
        <w:t xml:space="preserve"> de MINENERGÍA</w:t>
      </w:r>
      <w:r w:rsidRPr="00052450">
        <w:rPr>
          <w:rFonts w:ascii="Verdana" w:hAnsi="Verdana"/>
          <w:bCs/>
          <w:sz w:val="22"/>
          <w:szCs w:val="22"/>
        </w:rPr>
        <w:t>.</w:t>
      </w:r>
    </w:p>
    <w:p w14:paraId="26E75D5D" w14:textId="3A74C9B3"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Coordinación Gas/Electricidad y planeamiento de los dos sectores.</w:t>
      </w:r>
    </w:p>
    <w:p w14:paraId="2D6ABB3C" w14:textId="4A11D081"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Nuevas tecnologías.</w:t>
      </w:r>
    </w:p>
    <w:p w14:paraId="2878BA0F" w14:textId="03DE08E9"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Cálculo de reservas operativas.</w:t>
      </w:r>
    </w:p>
    <w:p w14:paraId="72B560FD" w14:textId="2836BCB3"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 xml:space="preserve">Articulación </w:t>
      </w:r>
      <w:r w:rsidR="001D1DF8" w:rsidRPr="00052450">
        <w:rPr>
          <w:rFonts w:ascii="Verdana" w:hAnsi="Verdana"/>
          <w:bCs/>
          <w:sz w:val="22"/>
          <w:szCs w:val="22"/>
        </w:rPr>
        <w:t xml:space="preserve">del </w:t>
      </w:r>
      <w:r w:rsidRPr="00052450">
        <w:rPr>
          <w:rFonts w:ascii="Verdana" w:hAnsi="Verdana"/>
          <w:bCs/>
          <w:sz w:val="22"/>
          <w:szCs w:val="22"/>
        </w:rPr>
        <w:t xml:space="preserve">RETIE con </w:t>
      </w:r>
      <w:r w:rsidR="001D1DF8" w:rsidRPr="00052450">
        <w:rPr>
          <w:rFonts w:ascii="Verdana" w:hAnsi="Verdana"/>
          <w:bCs/>
          <w:sz w:val="22"/>
          <w:szCs w:val="22"/>
        </w:rPr>
        <w:t xml:space="preserve">la </w:t>
      </w:r>
      <w:r w:rsidRPr="00052450">
        <w:rPr>
          <w:rFonts w:ascii="Verdana" w:hAnsi="Verdana"/>
          <w:bCs/>
          <w:sz w:val="22"/>
          <w:szCs w:val="22"/>
        </w:rPr>
        <w:t>Resolución CREG 030 de 2018.</w:t>
      </w:r>
    </w:p>
    <w:p w14:paraId="02E11A8E" w14:textId="25E4064F"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Actualización Código de Distribución.</w:t>
      </w:r>
    </w:p>
    <w:p w14:paraId="37D2D240" w14:textId="1E5FEEB0" w:rsidR="00FB19C8" w:rsidRPr="00052450" w:rsidRDefault="00FB19C8">
      <w:pPr>
        <w:pStyle w:val="Prrafodelista"/>
        <w:numPr>
          <w:ilvl w:val="1"/>
          <w:numId w:val="17"/>
        </w:numPr>
        <w:jc w:val="both"/>
        <w:rPr>
          <w:rFonts w:ascii="Verdana" w:hAnsi="Verdana"/>
          <w:bCs/>
          <w:sz w:val="22"/>
          <w:szCs w:val="22"/>
        </w:rPr>
      </w:pPr>
      <w:r w:rsidRPr="00052450">
        <w:rPr>
          <w:rFonts w:ascii="Verdana" w:hAnsi="Verdana"/>
          <w:bCs/>
          <w:sz w:val="22"/>
          <w:szCs w:val="22"/>
        </w:rPr>
        <w:t>Definición de corredores estratégicos desde el Planeamiento para los futuros proyectos de tran</w:t>
      </w:r>
      <w:r w:rsidR="001D1DF8" w:rsidRPr="00052450">
        <w:rPr>
          <w:rFonts w:ascii="Verdana" w:hAnsi="Verdana"/>
          <w:bCs/>
          <w:sz w:val="22"/>
          <w:szCs w:val="22"/>
        </w:rPr>
        <w:t>smisión.</w:t>
      </w:r>
    </w:p>
    <w:p w14:paraId="61549194" w14:textId="58A190D9"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Permitir a lo SAEB desempeñar otras funcionalidades, adicionales a la gestión de restricciones.</w:t>
      </w:r>
    </w:p>
    <w:p w14:paraId="493EC7EC" w14:textId="7D28B18C"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Actualización de la Resolución CREG 106 de 2006.</w:t>
      </w:r>
    </w:p>
    <w:p w14:paraId="1D304691" w14:textId="56F1E994"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Efectos de las expansiones en los sistemas de protección.</w:t>
      </w:r>
    </w:p>
    <w:p w14:paraId="5368FFE0" w14:textId="09962EAB"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Unidades de Medición Fasorial-PMU.</w:t>
      </w:r>
    </w:p>
    <w:p w14:paraId="6A80E046" w14:textId="7F5D68B5"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Servicios auxiliares.</w:t>
      </w:r>
    </w:p>
    <w:p w14:paraId="23CE6E30" w14:textId="364AF22C"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Entrada parcial de proyectos de expansión y sus efectos operativos.</w:t>
      </w:r>
    </w:p>
    <w:p w14:paraId="7439523B" w14:textId="245679F0"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Fraccionamiento de capacidad instalada y sus efectos en la operación y planeación.</w:t>
      </w:r>
    </w:p>
    <w:p w14:paraId="4C3B91D5" w14:textId="15F0A44C" w:rsidR="001D1DF8" w:rsidRPr="00052450" w:rsidRDefault="001D1DF8">
      <w:pPr>
        <w:pStyle w:val="Prrafodelista"/>
        <w:numPr>
          <w:ilvl w:val="1"/>
          <w:numId w:val="17"/>
        </w:numPr>
        <w:jc w:val="both"/>
        <w:rPr>
          <w:rFonts w:ascii="Verdana" w:hAnsi="Verdana"/>
          <w:bCs/>
          <w:sz w:val="22"/>
          <w:szCs w:val="22"/>
        </w:rPr>
      </w:pPr>
      <w:r w:rsidRPr="00052450">
        <w:rPr>
          <w:rFonts w:ascii="Verdana" w:hAnsi="Verdana"/>
          <w:bCs/>
          <w:sz w:val="22"/>
          <w:szCs w:val="22"/>
        </w:rPr>
        <w:t>Ciberseguridad.</w:t>
      </w:r>
    </w:p>
    <w:p w14:paraId="59233B6E" w14:textId="77777777" w:rsidR="00185CE1" w:rsidRPr="00024171" w:rsidRDefault="00185CE1" w:rsidP="00024171">
      <w:pPr>
        <w:jc w:val="both"/>
        <w:rPr>
          <w:rFonts w:ascii="Verdana" w:hAnsi="Verdana"/>
          <w:bCs/>
          <w:sz w:val="22"/>
          <w:szCs w:val="22"/>
        </w:rPr>
      </w:pPr>
    </w:p>
    <w:p w14:paraId="1678EF5F" w14:textId="1B989FAB" w:rsidR="00275415" w:rsidRPr="00052450" w:rsidRDefault="00524F3C">
      <w:pPr>
        <w:pStyle w:val="Prrafodelista"/>
        <w:numPr>
          <w:ilvl w:val="0"/>
          <w:numId w:val="17"/>
        </w:numPr>
        <w:jc w:val="both"/>
        <w:rPr>
          <w:rFonts w:ascii="Verdana" w:hAnsi="Verdana"/>
          <w:bCs/>
          <w:sz w:val="22"/>
          <w:szCs w:val="22"/>
        </w:rPr>
      </w:pPr>
      <w:r w:rsidRPr="00052450">
        <w:rPr>
          <w:rFonts w:ascii="Verdana" w:hAnsi="Verdana"/>
          <w:bCs/>
          <w:sz w:val="22"/>
          <w:szCs w:val="22"/>
        </w:rPr>
        <w:t>S</w:t>
      </w:r>
      <w:r w:rsidR="00282C44" w:rsidRPr="00052450">
        <w:rPr>
          <w:rFonts w:ascii="Verdana" w:hAnsi="Verdana"/>
          <w:bCs/>
          <w:sz w:val="22"/>
          <w:szCs w:val="22"/>
        </w:rPr>
        <w:t xml:space="preserve">obre la Resolución CREG </w:t>
      </w:r>
      <w:r w:rsidR="00412FC8" w:rsidRPr="00052450">
        <w:rPr>
          <w:rFonts w:ascii="Verdana" w:hAnsi="Verdana"/>
          <w:bCs/>
          <w:sz w:val="22"/>
          <w:szCs w:val="22"/>
        </w:rPr>
        <w:t>153 de 2019 “</w:t>
      </w:r>
      <w:r w:rsidR="00412FC8" w:rsidRPr="00024171">
        <w:rPr>
          <w:rFonts w:ascii="Verdana" w:hAnsi="Verdana"/>
          <w:bCs/>
          <w:i/>
          <w:iCs/>
          <w:sz w:val="22"/>
          <w:szCs w:val="22"/>
        </w:rPr>
        <w:t>Por la cual se establece una excepción a los límites de variación de la tensión nominal en la operación de los Sistemas de Transmisión Regional</w:t>
      </w:r>
      <w:r w:rsidR="00412FC8" w:rsidRPr="00052450">
        <w:rPr>
          <w:rFonts w:ascii="Verdana" w:hAnsi="Verdana"/>
          <w:bCs/>
          <w:sz w:val="22"/>
          <w:szCs w:val="22"/>
        </w:rPr>
        <w:t xml:space="preserve">”, se </w:t>
      </w:r>
      <w:r w:rsidR="003A7EEB" w:rsidRPr="00052450">
        <w:rPr>
          <w:rFonts w:ascii="Verdana" w:hAnsi="Verdana"/>
          <w:bCs/>
          <w:sz w:val="22"/>
          <w:szCs w:val="22"/>
        </w:rPr>
        <w:t xml:space="preserve">propone </w:t>
      </w:r>
      <w:r w:rsidR="00FF6F84" w:rsidRPr="00052450">
        <w:rPr>
          <w:rFonts w:ascii="Verdana" w:hAnsi="Verdana"/>
          <w:bCs/>
          <w:sz w:val="22"/>
          <w:szCs w:val="22"/>
        </w:rPr>
        <w:t>citar al comité legal</w:t>
      </w:r>
      <w:r w:rsidR="003A7EEB" w:rsidRPr="00052450">
        <w:rPr>
          <w:rFonts w:ascii="Verdana" w:hAnsi="Verdana"/>
          <w:bCs/>
          <w:sz w:val="22"/>
          <w:szCs w:val="22"/>
        </w:rPr>
        <w:t xml:space="preserve"> para analizar los riesgos del Consejo frente a un </w:t>
      </w:r>
      <w:r w:rsidR="007A78F9" w:rsidRPr="00052450">
        <w:rPr>
          <w:rFonts w:ascii="Verdana" w:hAnsi="Verdana"/>
          <w:bCs/>
          <w:sz w:val="22"/>
          <w:szCs w:val="22"/>
        </w:rPr>
        <w:t>A</w:t>
      </w:r>
      <w:r w:rsidR="003A7EEB" w:rsidRPr="00052450">
        <w:rPr>
          <w:rFonts w:ascii="Verdana" w:hAnsi="Verdana"/>
          <w:bCs/>
          <w:sz w:val="22"/>
          <w:szCs w:val="22"/>
        </w:rPr>
        <w:t xml:space="preserve">cuerdo </w:t>
      </w:r>
      <w:r w:rsidR="00412FC8" w:rsidRPr="00052450">
        <w:rPr>
          <w:rFonts w:ascii="Verdana" w:hAnsi="Verdana"/>
          <w:bCs/>
          <w:sz w:val="22"/>
          <w:szCs w:val="22"/>
        </w:rPr>
        <w:t xml:space="preserve">que </w:t>
      </w:r>
      <w:r w:rsidR="00611156" w:rsidRPr="00052450">
        <w:rPr>
          <w:rFonts w:ascii="Verdana" w:hAnsi="Verdana"/>
          <w:bCs/>
          <w:sz w:val="22"/>
          <w:szCs w:val="22"/>
        </w:rPr>
        <w:t>defina límites</w:t>
      </w:r>
      <w:r w:rsidR="003A7EEB" w:rsidRPr="00052450">
        <w:rPr>
          <w:rFonts w:ascii="Verdana" w:hAnsi="Verdana"/>
          <w:bCs/>
          <w:sz w:val="22"/>
          <w:szCs w:val="22"/>
        </w:rPr>
        <w:t xml:space="preserve"> de tensión provisionales</w:t>
      </w:r>
      <w:r w:rsidR="00611156" w:rsidRPr="00052450">
        <w:rPr>
          <w:rFonts w:ascii="Verdana" w:hAnsi="Verdana"/>
          <w:bCs/>
          <w:sz w:val="22"/>
          <w:szCs w:val="22"/>
        </w:rPr>
        <w:t xml:space="preserve"> para subestaciones radiales del STR. Respecto a este punto, el CND informó en el Comité de Distribución que está realizando un inventario de otras subestaciones que pueden ser objeto de la aplicación de </w:t>
      </w:r>
      <w:r w:rsidR="0081003D">
        <w:rPr>
          <w:rFonts w:ascii="Verdana" w:hAnsi="Verdana"/>
          <w:bCs/>
          <w:sz w:val="22"/>
          <w:szCs w:val="22"/>
        </w:rPr>
        <w:t>esta</w:t>
      </w:r>
      <w:r w:rsidR="00611156" w:rsidRPr="00052450">
        <w:rPr>
          <w:rFonts w:ascii="Verdana" w:hAnsi="Verdana"/>
          <w:bCs/>
          <w:sz w:val="22"/>
          <w:szCs w:val="22"/>
        </w:rPr>
        <w:t xml:space="preserve"> Resolución.</w:t>
      </w:r>
    </w:p>
    <w:p w14:paraId="52791048" w14:textId="77777777" w:rsidR="00275415" w:rsidRDefault="00275415" w:rsidP="00024171">
      <w:pPr>
        <w:pStyle w:val="Prrafodelista"/>
        <w:ind w:left="360"/>
        <w:jc w:val="both"/>
        <w:rPr>
          <w:rFonts w:ascii="Verdana" w:hAnsi="Verdana"/>
          <w:bCs/>
          <w:sz w:val="22"/>
          <w:szCs w:val="22"/>
        </w:rPr>
      </w:pPr>
    </w:p>
    <w:p w14:paraId="3883BDAB" w14:textId="06ACB1B6" w:rsidR="00275415" w:rsidRDefault="00275415" w:rsidP="00275415">
      <w:pPr>
        <w:pStyle w:val="Prrafodelista"/>
        <w:numPr>
          <w:ilvl w:val="0"/>
          <w:numId w:val="17"/>
        </w:numPr>
        <w:jc w:val="both"/>
        <w:rPr>
          <w:rFonts w:ascii="Verdana" w:hAnsi="Verdana"/>
          <w:bCs/>
          <w:sz w:val="22"/>
          <w:szCs w:val="22"/>
        </w:rPr>
      </w:pPr>
      <w:r>
        <w:rPr>
          <w:rFonts w:ascii="Verdana" w:hAnsi="Verdana"/>
          <w:bCs/>
          <w:sz w:val="22"/>
          <w:szCs w:val="22"/>
        </w:rPr>
        <w:t>Se informó por parte del CND y ELECTRICARIBE que recientemente se racionaron cargas en la subárea GCM a nivel del SDL, ya que la demanda ha “repuntado” nuevamente por el incremento de la temperatura en la zona. Vale la pena mencionar que dicho racionamiento se materializó cuando la tensión en el Banco 110 kV fue 0.86 en p.u., es decir, el voltaje era superior al valor de referencia informado previamente por ELECTRICARIBE, 0.82 en p.u. (análisis estático a través de una curva PV). Lo anterior debe considerarse al momento de formular el Acuerdo relacionado con la Resolución CREG 153 de 2019.</w:t>
      </w:r>
    </w:p>
    <w:p w14:paraId="06A85238" w14:textId="77777777" w:rsidR="009A1F17" w:rsidRPr="00024171" w:rsidRDefault="009A1F17" w:rsidP="00024171">
      <w:pPr>
        <w:jc w:val="both"/>
        <w:rPr>
          <w:rFonts w:ascii="Verdana" w:hAnsi="Verdana"/>
          <w:bCs/>
          <w:sz w:val="22"/>
          <w:szCs w:val="22"/>
        </w:rPr>
      </w:pPr>
    </w:p>
    <w:p w14:paraId="51AED54B" w14:textId="1EB349A3" w:rsidR="005817B8" w:rsidRPr="00052450" w:rsidRDefault="00701B04">
      <w:pPr>
        <w:pStyle w:val="Prrafodelista"/>
        <w:numPr>
          <w:ilvl w:val="0"/>
          <w:numId w:val="17"/>
        </w:numPr>
        <w:jc w:val="both"/>
        <w:rPr>
          <w:rFonts w:ascii="Verdana" w:hAnsi="Verdana"/>
          <w:bCs/>
          <w:sz w:val="22"/>
          <w:szCs w:val="22"/>
        </w:rPr>
      </w:pPr>
      <w:r w:rsidRPr="00052450">
        <w:rPr>
          <w:rFonts w:ascii="Verdana" w:hAnsi="Verdana"/>
          <w:bCs/>
          <w:sz w:val="22"/>
          <w:szCs w:val="22"/>
        </w:rPr>
        <w:t xml:space="preserve">En el </w:t>
      </w:r>
      <w:r w:rsidR="003A7EEB" w:rsidRPr="00052450">
        <w:rPr>
          <w:rFonts w:ascii="Verdana" w:hAnsi="Verdana"/>
          <w:bCs/>
          <w:sz w:val="22"/>
          <w:szCs w:val="22"/>
        </w:rPr>
        <w:t xml:space="preserve">Comité de Operación </w:t>
      </w:r>
      <w:r w:rsidRPr="00052450">
        <w:rPr>
          <w:rFonts w:ascii="Verdana" w:hAnsi="Verdana"/>
          <w:bCs/>
          <w:sz w:val="22"/>
          <w:szCs w:val="22"/>
        </w:rPr>
        <w:t>se estudi</w:t>
      </w:r>
      <w:r w:rsidR="003A7EEB" w:rsidRPr="00052450">
        <w:rPr>
          <w:rFonts w:ascii="Verdana" w:hAnsi="Verdana"/>
          <w:bCs/>
          <w:sz w:val="22"/>
          <w:szCs w:val="22"/>
        </w:rPr>
        <w:t>aron</w:t>
      </w:r>
      <w:r w:rsidRPr="00052450">
        <w:rPr>
          <w:rFonts w:ascii="Verdana" w:hAnsi="Verdana"/>
          <w:bCs/>
          <w:sz w:val="22"/>
          <w:szCs w:val="22"/>
        </w:rPr>
        <w:t xml:space="preserve"> nuevamente las modificaciones </w:t>
      </w:r>
      <w:r w:rsidR="00E133A3" w:rsidRPr="00052450">
        <w:rPr>
          <w:rFonts w:ascii="Verdana" w:hAnsi="Verdana"/>
          <w:bCs/>
          <w:sz w:val="22"/>
          <w:szCs w:val="22"/>
        </w:rPr>
        <w:t>de</w:t>
      </w:r>
      <w:r w:rsidRPr="00052450">
        <w:rPr>
          <w:rFonts w:ascii="Verdana" w:hAnsi="Verdana"/>
          <w:bCs/>
          <w:sz w:val="22"/>
          <w:szCs w:val="22"/>
        </w:rPr>
        <w:t xml:space="preserve">l Acuerdo </w:t>
      </w:r>
      <w:r w:rsidR="009A1F17" w:rsidRPr="00052450">
        <w:rPr>
          <w:rFonts w:ascii="Verdana" w:hAnsi="Verdana"/>
          <w:bCs/>
          <w:sz w:val="22"/>
          <w:szCs w:val="22"/>
        </w:rPr>
        <w:t>CNO 555</w:t>
      </w:r>
      <w:r w:rsidRPr="00052450">
        <w:rPr>
          <w:rFonts w:ascii="Verdana" w:hAnsi="Verdana"/>
          <w:bCs/>
          <w:sz w:val="22"/>
          <w:szCs w:val="22"/>
        </w:rPr>
        <w:t xml:space="preserve">, </w:t>
      </w:r>
      <w:r w:rsidR="00E133A3" w:rsidRPr="00052450">
        <w:rPr>
          <w:rFonts w:ascii="Verdana" w:hAnsi="Verdana"/>
          <w:bCs/>
          <w:sz w:val="22"/>
          <w:szCs w:val="22"/>
        </w:rPr>
        <w:t xml:space="preserve">sobre </w:t>
      </w:r>
      <w:r w:rsidRPr="00052450">
        <w:rPr>
          <w:rFonts w:ascii="Verdana" w:hAnsi="Verdana"/>
          <w:bCs/>
          <w:sz w:val="22"/>
          <w:szCs w:val="22"/>
        </w:rPr>
        <w:t xml:space="preserve">las autorizaciones automáticas </w:t>
      </w:r>
      <w:r w:rsidR="00E133A3" w:rsidRPr="00052450">
        <w:rPr>
          <w:rFonts w:ascii="Verdana" w:hAnsi="Verdana"/>
          <w:bCs/>
          <w:sz w:val="22"/>
          <w:szCs w:val="22"/>
        </w:rPr>
        <w:t xml:space="preserve">de desviación </w:t>
      </w:r>
      <w:r w:rsidRPr="00052450">
        <w:rPr>
          <w:rFonts w:ascii="Verdana" w:hAnsi="Verdana"/>
          <w:bCs/>
          <w:sz w:val="22"/>
          <w:szCs w:val="22"/>
        </w:rPr>
        <w:t>por dos periodos</w:t>
      </w:r>
      <w:r w:rsidR="00F14958" w:rsidRPr="00052450">
        <w:rPr>
          <w:rFonts w:ascii="Verdana" w:hAnsi="Verdana"/>
          <w:bCs/>
          <w:sz w:val="22"/>
          <w:szCs w:val="22"/>
        </w:rPr>
        <w:t xml:space="preserve"> consecutivos en el despacho o redespacho,</w:t>
      </w:r>
      <w:r w:rsidRPr="00052450">
        <w:rPr>
          <w:rFonts w:ascii="Verdana" w:hAnsi="Verdana"/>
          <w:bCs/>
          <w:sz w:val="22"/>
          <w:szCs w:val="22"/>
        </w:rPr>
        <w:t xml:space="preserve"> cuando una planta </w:t>
      </w:r>
      <w:r w:rsidR="00F14958" w:rsidRPr="00052450">
        <w:rPr>
          <w:rFonts w:ascii="Verdana" w:hAnsi="Verdana"/>
          <w:bCs/>
          <w:sz w:val="22"/>
          <w:szCs w:val="22"/>
        </w:rPr>
        <w:t xml:space="preserve">en su programa de generación </w:t>
      </w:r>
      <w:r w:rsidRPr="00052450">
        <w:rPr>
          <w:rFonts w:ascii="Verdana" w:hAnsi="Verdana"/>
          <w:bCs/>
          <w:sz w:val="22"/>
          <w:szCs w:val="22"/>
        </w:rPr>
        <w:t>pasa de cero</w:t>
      </w:r>
      <w:r w:rsidR="00F14958" w:rsidRPr="00052450">
        <w:rPr>
          <w:rFonts w:ascii="Verdana" w:hAnsi="Verdana"/>
          <w:bCs/>
          <w:sz w:val="22"/>
          <w:szCs w:val="22"/>
        </w:rPr>
        <w:t xml:space="preserve"> (0) MW</w:t>
      </w:r>
      <w:r w:rsidRPr="00052450">
        <w:rPr>
          <w:rFonts w:ascii="Verdana" w:hAnsi="Verdana"/>
          <w:bCs/>
          <w:sz w:val="22"/>
          <w:szCs w:val="22"/>
        </w:rPr>
        <w:t xml:space="preserve"> a un valor</w:t>
      </w:r>
      <w:r w:rsidR="00F14958" w:rsidRPr="00052450">
        <w:rPr>
          <w:rFonts w:ascii="Verdana" w:hAnsi="Verdana"/>
          <w:bCs/>
          <w:sz w:val="22"/>
          <w:szCs w:val="22"/>
        </w:rPr>
        <w:t xml:space="preserve"> diferente de cero (0) MW</w:t>
      </w:r>
      <w:r w:rsidRPr="00052450">
        <w:rPr>
          <w:rFonts w:ascii="Verdana" w:hAnsi="Verdana"/>
          <w:bCs/>
          <w:sz w:val="22"/>
          <w:szCs w:val="22"/>
        </w:rPr>
        <w:t>, de un valor</w:t>
      </w:r>
      <w:r w:rsidR="00F14958" w:rsidRPr="00052450">
        <w:rPr>
          <w:rFonts w:ascii="Verdana" w:hAnsi="Verdana"/>
          <w:bCs/>
          <w:sz w:val="22"/>
          <w:szCs w:val="22"/>
        </w:rPr>
        <w:t xml:space="preserve"> diferente de</w:t>
      </w:r>
      <w:r w:rsidRPr="00052450">
        <w:rPr>
          <w:rFonts w:ascii="Verdana" w:hAnsi="Verdana"/>
          <w:bCs/>
          <w:sz w:val="22"/>
          <w:szCs w:val="22"/>
        </w:rPr>
        <w:t xml:space="preserve"> cero (0)</w:t>
      </w:r>
      <w:r w:rsidR="00F14958" w:rsidRPr="00052450">
        <w:rPr>
          <w:rFonts w:ascii="Verdana" w:hAnsi="Verdana"/>
          <w:bCs/>
          <w:sz w:val="22"/>
          <w:szCs w:val="22"/>
        </w:rPr>
        <w:t xml:space="preserve"> MW a cero (0) MW</w:t>
      </w:r>
      <w:r w:rsidRPr="00052450">
        <w:rPr>
          <w:rFonts w:ascii="Verdana" w:hAnsi="Verdana"/>
          <w:bCs/>
          <w:sz w:val="22"/>
          <w:szCs w:val="22"/>
        </w:rPr>
        <w:t xml:space="preserve">, </w:t>
      </w:r>
      <w:r w:rsidR="00F14958" w:rsidRPr="00052450">
        <w:rPr>
          <w:rFonts w:ascii="Verdana" w:hAnsi="Verdana"/>
          <w:bCs/>
          <w:sz w:val="22"/>
          <w:szCs w:val="22"/>
        </w:rPr>
        <w:t xml:space="preserve">o su generación cambia de un periodo a otro en 230 MW.  </w:t>
      </w:r>
      <w:r w:rsidR="00680231" w:rsidRPr="00052450">
        <w:rPr>
          <w:rFonts w:ascii="Verdana" w:hAnsi="Verdana"/>
          <w:bCs/>
          <w:sz w:val="22"/>
          <w:szCs w:val="22"/>
        </w:rPr>
        <w:t xml:space="preserve">Se presentó </w:t>
      </w:r>
      <w:r w:rsidR="007A78F9" w:rsidRPr="00052450">
        <w:rPr>
          <w:rFonts w:ascii="Verdana" w:hAnsi="Verdana"/>
          <w:bCs/>
          <w:sz w:val="22"/>
          <w:szCs w:val="22"/>
        </w:rPr>
        <w:t xml:space="preserve">por parte del Consejo </w:t>
      </w:r>
      <w:r w:rsidR="00680231" w:rsidRPr="00052450">
        <w:rPr>
          <w:rFonts w:ascii="Verdana" w:hAnsi="Verdana"/>
          <w:bCs/>
          <w:sz w:val="22"/>
          <w:szCs w:val="22"/>
        </w:rPr>
        <w:t>el análisis regulatorio</w:t>
      </w:r>
      <w:r w:rsidR="007A78F9" w:rsidRPr="00052450">
        <w:rPr>
          <w:rFonts w:ascii="Verdana" w:hAnsi="Verdana"/>
          <w:bCs/>
          <w:sz w:val="22"/>
          <w:szCs w:val="22"/>
        </w:rPr>
        <w:t xml:space="preserve"> respecto</w:t>
      </w:r>
      <w:r w:rsidR="00680231" w:rsidRPr="00052450">
        <w:rPr>
          <w:rFonts w:ascii="Verdana" w:hAnsi="Verdana"/>
          <w:bCs/>
          <w:sz w:val="22"/>
          <w:szCs w:val="22"/>
        </w:rPr>
        <w:t xml:space="preserve"> </w:t>
      </w:r>
      <w:r w:rsidR="007A78F9" w:rsidRPr="00052450">
        <w:rPr>
          <w:rFonts w:ascii="Verdana" w:hAnsi="Verdana"/>
          <w:bCs/>
          <w:sz w:val="22"/>
          <w:szCs w:val="22"/>
        </w:rPr>
        <w:t>a</w:t>
      </w:r>
      <w:r w:rsidR="00680231" w:rsidRPr="00052450">
        <w:rPr>
          <w:rFonts w:ascii="Verdana" w:hAnsi="Verdana"/>
          <w:bCs/>
          <w:sz w:val="22"/>
          <w:szCs w:val="22"/>
        </w:rPr>
        <w:t xml:space="preserve"> la franja de tolerancia de desviación horaria del 5% para las plantas convencionales, partiendo de la Resolución CREG 024 de 1995, 112 de 1998 y 060 de 2019. Al respecto</w:t>
      </w:r>
      <w:r w:rsidR="00001D7F" w:rsidRPr="00052450">
        <w:rPr>
          <w:rFonts w:ascii="Verdana" w:hAnsi="Verdana"/>
          <w:bCs/>
          <w:sz w:val="22"/>
          <w:szCs w:val="22"/>
        </w:rPr>
        <w:t xml:space="preserve">, los agentes </w:t>
      </w:r>
      <w:r w:rsidR="007A78F9" w:rsidRPr="00052450">
        <w:rPr>
          <w:rFonts w:ascii="Verdana" w:hAnsi="Verdana"/>
          <w:bCs/>
          <w:sz w:val="22"/>
          <w:szCs w:val="22"/>
        </w:rPr>
        <w:t>informaron que revisarán</w:t>
      </w:r>
      <w:r w:rsidR="00001D7F" w:rsidRPr="00052450">
        <w:rPr>
          <w:rFonts w:ascii="Verdana" w:hAnsi="Verdana"/>
          <w:bCs/>
          <w:sz w:val="22"/>
          <w:szCs w:val="22"/>
        </w:rPr>
        <w:t xml:space="preserve"> el análisis presentado</w:t>
      </w:r>
      <w:r w:rsidR="007A78F9" w:rsidRPr="00052450">
        <w:rPr>
          <w:rFonts w:ascii="Verdana" w:hAnsi="Verdana"/>
          <w:bCs/>
          <w:sz w:val="22"/>
          <w:szCs w:val="22"/>
        </w:rPr>
        <w:t>,</w:t>
      </w:r>
      <w:r w:rsidR="00001D7F" w:rsidRPr="00052450">
        <w:rPr>
          <w:rFonts w:ascii="Verdana" w:hAnsi="Verdana"/>
          <w:bCs/>
          <w:sz w:val="22"/>
          <w:szCs w:val="22"/>
        </w:rPr>
        <w:t xml:space="preserve"> y de forma paralela</w:t>
      </w:r>
      <w:r w:rsidR="007A78F9" w:rsidRPr="00052450">
        <w:rPr>
          <w:rFonts w:ascii="Verdana" w:hAnsi="Verdana"/>
          <w:bCs/>
          <w:sz w:val="22"/>
          <w:szCs w:val="22"/>
        </w:rPr>
        <w:t>,</w:t>
      </w:r>
      <w:r w:rsidR="00001D7F" w:rsidRPr="00052450">
        <w:rPr>
          <w:rFonts w:ascii="Verdana" w:hAnsi="Verdana"/>
          <w:bCs/>
          <w:sz w:val="22"/>
          <w:szCs w:val="22"/>
        </w:rPr>
        <w:t xml:space="preserve"> se preparará una comunicación para envío a la Comisión</w:t>
      </w:r>
      <w:r w:rsidR="007A78F9" w:rsidRPr="00052450">
        <w:rPr>
          <w:rFonts w:ascii="Verdana" w:hAnsi="Verdana"/>
          <w:bCs/>
          <w:sz w:val="22"/>
          <w:szCs w:val="22"/>
        </w:rPr>
        <w:t>,</w:t>
      </w:r>
      <w:r w:rsidR="00001D7F" w:rsidRPr="00052450">
        <w:rPr>
          <w:rFonts w:ascii="Verdana" w:hAnsi="Verdana"/>
          <w:bCs/>
          <w:sz w:val="22"/>
          <w:szCs w:val="22"/>
        </w:rPr>
        <w:t xml:space="preserve"> explica</w:t>
      </w:r>
      <w:r w:rsidR="007A78F9" w:rsidRPr="00052450">
        <w:rPr>
          <w:rFonts w:ascii="Verdana" w:hAnsi="Verdana"/>
          <w:bCs/>
          <w:sz w:val="22"/>
          <w:szCs w:val="22"/>
        </w:rPr>
        <w:t>ndo</w:t>
      </w:r>
      <w:r w:rsidR="00001D7F" w:rsidRPr="00052450">
        <w:rPr>
          <w:rFonts w:ascii="Verdana" w:hAnsi="Verdana"/>
          <w:bCs/>
          <w:sz w:val="22"/>
          <w:szCs w:val="22"/>
        </w:rPr>
        <w:t xml:space="preserve"> con detalle los análisis del Acuerdo 555</w:t>
      </w:r>
      <w:r w:rsidR="007A78F9" w:rsidRPr="00052450">
        <w:rPr>
          <w:rFonts w:ascii="Verdana" w:hAnsi="Verdana"/>
          <w:bCs/>
          <w:sz w:val="22"/>
          <w:szCs w:val="22"/>
        </w:rPr>
        <w:t xml:space="preserve"> (también se solicitará una reunión a la CREG)</w:t>
      </w:r>
      <w:r w:rsidR="00001D7F" w:rsidRPr="00052450">
        <w:rPr>
          <w:rFonts w:ascii="Verdana" w:hAnsi="Verdana"/>
          <w:bCs/>
          <w:sz w:val="22"/>
          <w:szCs w:val="22"/>
        </w:rPr>
        <w:t xml:space="preserve">. </w:t>
      </w:r>
    </w:p>
    <w:p w14:paraId="20F24E2A" w14:textId="77777777" w:rsidR="00F14958" w:rsidRPr="00024171" w:rsidRDefault="00F14958" w:rsidP="00024171">
      <w:pPr>
        <w:jc w:val="both"/>
        <w:rPr>
          <w:rFonts w:ascii="Verdana" w:hAnsi="Verdana"/>
          <w:bCs/>
          <w:sz w:val="22"/>
          <w:szCs w:val="22"/>
        </w:rPr>
      </w:pPr>
    </w:p>
    <w:p w14:paraId="13A58BD6" w14:textId="321F61D4" w:rsidR="005D0B2D" w:rsidRPr="00052450" w:rsidRDefault="00AE01B5">
      <w:pPr>
        <w:pStyle w:val="Prrafodelista"/>
        <w:numPr>
          <w:ilvl w:val="0"/>
          <w:numId w:val="17"/>
        </w:numPr>
        <w:jc w:val="both"/>
        <w:rPr>
          <w:rFonts w:ascii="Verdana" w:hAnsi="Verdana"/>
          <w:bCs/>
          <w:sz w:val="22"/>
          <w:szCs w:val="22"/>
        </w:rPr>
      </w:pPr>
      <w:r w:rsidRPr="00052450">
        <w:rPr>
          <w:rFonts w:ascii="Verdana" w:hAnsi="Verdana"/>
          <w:bCs/>
          <w:sz w:val="22"/>
          <w:szCs w:val="22"/>
        </w:rPr>
        <w:lastRenderedPageBreak/>
        <w:t xml:space="preserve">El CND </w:t>
      </w:r>
      <w:r w:rsidR="0078530C" w:rsidRPr="00052450">
        <w:rPr>
          <w:rFonts w:ascii="Verdana" w:hAnsi="Verdana"/>
          <w:bCs/>
          <w:sz w:val="22"/>
          <w:szCs w:val="22"/>
        </w:rPr>
        <w:t>present</w:t>
      </w:r>
      <w:r w:rsidR="00FF6F84" w:rsidRPr="00052450">
        <w:rPr>
          <w:rFonts w:ascii="Verdana" w:hAnsi="Verdana"/>
          <w:bCs/>
          <w:sz w:val="22"/>
          <w:szCs w:val="22"/>
        </w:rPr>
        <w:t>ó</w:t>
      </w:r>
      <w:r w:rsidR="0078530C" w:rsidRPr="00052450">
        <w:rPr>
          <w:rFonts w:ascii="Verdana" w:hAnsi="Verdana"/>
          <w:bCs/>
          <w:sz w:val="22"/>
          <w:szCs w:val="22"/>
        </w:rPr>
        <w:t xml:space="preserve"> detalladamente </w:t>
      </w:r>
      <w:r w:rsidRPr="00052450">
        <w:rPr>
          <w:rFonts w:ascii="Verdana" w:hAnsi="Verdana"/>
          <w:bCs/>
          <w:sz w:val="22"/>
          <w:szCs w:val="22"/>
        </w:rPr>
        <w:t>a</w:t>
      </w:r>
      <w:r w:rsidR="0078530C" w:rsidRPr="00052450">
        <w:rPr>
          <w:rFonts w:ascii="Verdana" w:hAnsi="Verdana"/>
          <w:bCs/>
          <w:sz w:val="22"/>
          <w:szCs w:val="22"/>
        </w:rPr>
        <w:t xml:space="preserve"> </w:t>
      </w:r>
      <w:r w:rsidR="007A78F9" w:rsidRPr="00052450">
        <w:rPr>
          <w:rFonts w:ascii="Verdana" w:hAnsi="Verdana"/>
          <w:bCs/>
          <w:sz w:val="22"/>
          <w:szCs w:val="22"/>
        </w:rPr>
        <w:t xml:space="preserve">los </w:t>
      </w:r>
      <w:r w:rsidR="0078530C" w:rsidRPr="00052450">
        <w:rPr>
          <w:rFonts w:ascii="Verdana" w:hAnsi="Verdana"/>
          <w:bCs/>
          <w:sz w:val="22"/>
          <w:szCs w:val="22"/>
        </w:rPr>
        <w:t>Subcomité</w:t>
      </w:r>
      <w:r w:rsidR="007A78F9" w:rsidRPr="00052450">
        <w:rPr>
          <w:rFonts w:ascii="Verdana" w:hAnsi="Verdana"/>
          <w:bCs/>
          <w:sz w:val="22"/>
          <w:szCs w:val="22"/>
        </w:rPr>
        <w:t>s</w:t>
      </w:r>
      <w:r w:rsidR="0078530C" w:rsidRPr="00052450">
        <w:rPr>
          <w:rFonts w:ascii="Verdana" w:hAnsi="Verdana"/>
          <w:bCs/>
          <w:sz w:val="22"/>
          <w:szCs w:val="22"/>
        </w:rPr>
        <w:t xml:space="preserve"> de Planeamiento Operativo</w:t>
      </w:r>
      <w:r w:rsidR="007A78F9" w:rsidRPr="00052450">
        <w:rPr>
          <w:rFonts w:ascii="Verdana" w:hAnsi="Verdana"/>
          <w:bCs/>
          <w:sz w:val="22"/>
          <w:szCs w:val="22"/>
        </w:rPr>
        <w:t xml:space="preserve"> y Plantas, al igual que </w:t>
      </w:r>
      <w:r w:rsidRPr="00052450">
        <w:rPr>
          <w:rFonts w:ascii="Verdana" w:hAnsi="Verdana"/>
          <w:bCs/>
          <w:sz w:val="22"/>
          <w:szCs w:val="22"/>
        </w:rPr>
        <w:t>e</w:t>
      </w:r>
      <w:r w:rsidR="007A78F9" w:rsidRPr="00052450">
        <w:rPr>
          <w:rFonts w:ascii="Verdana" w:hAnsi="Verdana"/>
          <w:bCs/>
          <w:sz w:val="22"/>
          <w:szCs w:val="22"/>
        </w:rPr>
        <w:t xml:space="preserve">l grupo de coordinación Gas/Electricidad y </w:t>
      </w:r>
      <w:r w:rsidRPr="00052450">
        <w:rPr>
          <w:rFonts w:ascii="Verdana" w:hAnsi="Verdana"/>
          <w:bCs/>
          <w:sz w:val="22"/>
          <w:szCs w:val="22"/>
        </w:rPr>
        <w:t xml:space="preserve">al </w:t>
      </w:r>
      <w:r w:rsidR="007A78F9" w:rsidRPr="00052450">
        <w:rPr>
          <w:rFonts w:ascii="Verdana" w:hAnsi="Verdana"/>
          <w:bCs/>
          <w:sz w:val="22"/>
          <w:szCs w:val="22"/>
        </w:rPr>
        <w:t>CNO Gas</w:t>
      </w:r>
      <w:r w:rsidRPr="00052450">
        <w:rPr>
          <w:rFonts w:ascii="Verdana" w:hAnsi="Verdana"/>
          <w:bCs/>
          <w:sz w:val="22"/>
          <w:szCs w:val="22"/>
        </w:rPr>
        <w:t>,</w:t>
      </w:r>
      <w:r w:rsidR="0078530C" w:rsidRPr="00052450">
        <w:rPr>
          <w:rFonts w:ascii="Verdana" w:hAnsi="Verdana"/>
          <w:bCs/>
          <w:sz w:val="22"/>
          <w:szCs w:val="22"/>
        </w:rPr>
        <w:t xml:space="preserve"> el cálculo de la flexibilidad sistémica</w:t>
      </w:r>
      <w:r w:rsidR="007A78F9" w:rsidRPr="00052450">
        <w:rPr>
          <w:rFonts w:ascii="Verdana" w:hAnsi="Verdana"/>
          <w:bCs/>
          <w:sz w:val="22"/>
          <w:szCs w:val="22"/>
        </w:rPr>
        <w:t xml:space="preserve"> esperada </w:t>
      </w:r>
      <w:r w:rsidR="0078530C" w:rsidRPr="00052450">
        <w:rPr>
          <w:rFonts w:ascii="Verdana" w:hAnsi="Verdana"/>
          <w:bCs/>
          <w:sz w:val="22"/>
          <w:szCs w:val="22"/>
        </w:rPr>
        <w:t>para el SIN</w:t>
      </w:r>
      <w:r w:rsidR="007A78F9" w:rsidRPr="00052450">
        <w:rPr>
          <w:rFonts w:ascii="Verdana" w:hAnsi="Verdana"/>
          <w:bCs/>
          <w:sz w:val="22"/>
          <w:szCs w:val="22"/>
        </w:rPr>
        <w:t xml:space="preserve"> en el año 2023 bajo diferentes escenarios de incorporación de Fuentes Variables de Energía</w:t>
      </w:r>
      <w:r w:rsidRPr="00052450">
        <w:rPr>
          <w:rFonts w:ascii="Verdana" w:hAnsi="Verdana"/>
          <w:bCs/>
          <w:sz w:val="22"/>
          <w:szCs w:val="22"/>
        </w:rPr>
        <w:t>-VRE</w:t>
      </w:r>
      <w:r w:rsidR="00FF6F84" w:rsidRPr="00052450">
        <w:rPr>
          <w:rFonts w:ascii="Verdana" w:hAnsi="Verdana"/>
          <w:bCs/>
          <w:sz w:val="22"/>
          <w:szCs w:val="22"/>
        </w:rPr>
        <w:t>.</w:t>
      </w:r>
      <w:r w:rsidRPr="00052450">
        <w:rPr>
          <w:rFonts w:ascii="Verdana" w:hAnsi="Verdana"/>
          <w:bCs/>
          <w:sz w:val="22"/>
          <w:szCs w:val="22"/>
        </w:rPr>
        <w:t xml:space="preserve"> El ejercicio incorpora varios elementos de detalle del SIN en la modelación, como </w:t>
      </w:r>
      <w:r w:rsidR="005D0B2D" w:rsidRPr="00052450">
        <w:rPr>
          <w:rFonts w:ascii="Verdana" w:hAnsi="Verdana"/>
          <w:bCs/>
          <w:sz w:val="22"/>
          <w:szCs w:val="22"/>
        </w:rPr>
        <w:t xml:space="preserve">son </w:t>
      </w:r>
      <w:r w:rsidRPr="00052450">
        <w:rPr>
          <w:rFonts w:ascii="Verdana" w:hAnsi="Verdana"/>
          <w:bCs/>
          <w:sz w:val="22"/>
          <w:szCs w:val="22"/>
        </w:rPr>
        <w:t xml:space="preserve">las restricciones de transporte a nivel del STN, rampas operativas, mínimos técnicos, tiempos mínimos fuera y en línea, requerimientos de reserva para la regulación secundaria de frecuencia, variabilidad de los recursos primarios renovables no convencionales, entre otros. </w:t>
      </w:r>
    </w:p>
    <w:p w14:paraId="23984C88" w14:textId="77777777" w:rsidR="00251A8B" w:rsidRDefault="00251A8B" w:rsidP="00052450">
      <w:pPr>
        <w:pStyle w:val="Prrafodelista"/>
        <w:ind w:left="360"/>
        <w:jc w:val="both"/>
        <w:rPr>
          <w:rFonts w:ascii="Verdana" w:hAnsi="Verdana"/>
          <w:bCs/>
          <w:sz w:val="22"/>
          <w:szCs w:val="22"/>
        </w:rPr>
      </w:pPr>
    </w:p>
    <w:p w14:paraId="2D62566D" w14:textId="7DA43766" w:rsidR="003E2065" w:rsidRPr="00052450" w:rsidRDefault="00024171">
      <w:pPr>
        <w:pStyle w:val="Prrafodelista"/>
        <w:ind w:left="360"/>
        <w:jc w:val="both"/>
        <w:rPr>
          <w:rFonts w:ascii="Verdana" w:hAnsi="Verdana"/>
          <w:bCs/>
          <w:sz w:val="22"/>
          <w:szCs w:val="22"/>
        </w:rPr>
      </w:pPr>
      <w:r>
        <w:rPr>
          <w:rFonts w:ascii="Verdana" w:hAnsi="Verdana"/>
          <w:bCs/>
          <w:sz w:val="22"/>
          <w:szCs w:val="22"/>
        </w:rPr>
        <w:t>E</w:t>
      </w:r>
      <w:r w:rsidR="005D0B2D" w:rsidRPr="00052450">
        <w:rPr>
          <w:rFonts w:ascii="Verdana" w:hAnsi="Verdana"/>
          <w:bCs/>
          <w:sz w:val="22"/>
          <w:szCs w:val="22"/>
        </w:rPr>
        <w:t>l Consejo recomienda al CND complementar el análisis</w:t>
      </w:r>
      <w:r w:rsidR="00251A8B">
        <w:rPr>
          <w:rFonts w:ascii="Verdana" w:hAnsi="Verdana"/>
          <w:bCs/>
          <w:sz w:val="22"/>
          <w:szCs w:val="22"/>
        </w:rPr>
        <w:t xml:space="preserve"> con el SPO</w:t>
      </w:r>
      <w:r w:rsidR="005D0B2D" w:rsidRPr="00052450">
        <w:rPr>
          <w:rFonts w:ascii="Verdana" w:hAnsi="Verdana"/>
          <w:bCs/>
          <w:sz w:val="22"/>
          <w:szCs w:val="22"/>
        </w:rPr>
        <w:t>, teniendo en cuenta algun</w:t>
      </w:r>
      <w:r w:rsidR="008E1DB6" w:rsidRPr="00052450">
        <w:rPr>
          <w:rFonts w:ascii="Verdana" w:hAnsi="Verdana"/>
          <w:bCs/>
          <w:sz w:val="22"/>
          <w:szCs w:val="22"/>
        </w:rPr>
        <w:t>o</w:t>
      </w:r>
      <w:r w:rsidR="005D0B2D" w:rsidRPr="00052450">
        <w:rPr>
          <w:rFonts w:ascii="Verdana" w:hAnsi="Verdana"/>
          <w:bCs/>
          <w:sz w:val="22"/>
          <w:szCs w:val="22"/>
        </w:rPr>
        <w:t>s</w:t>
      </w:r>
      <w:r w:rsidR="008E1DB6" w:rsidRPr="00052450">
        <w:rPr>
          <w:rFonts w:ascii="Verdana" w:hAnsi="Verdana"/>
          <w:bCs/>
          <w:sz w:val="22"/>
          <w:szCs w:val="22"/>
        </w:rPr>
        <w:t xml:space="preserve"> aspectos adicionales en la modelación, como las</w:t>
      </w:r>
      <w:r w:rsidR="005D0B2D" w:rsidRPr="00052450">
        <w:rPr>
          <w:rFonts w:ascii="Verdana" w:hAnsi="Verdana"/>
          <w:bCs/>
          <w:sz w:val="22"/>
          <w:szCs w:val="22"/>
        </w:rPr>
        <w:t xml:space="preserve"> restricciones</w:t>
      </w:r>
      <w:r w:rsidR="008E1DB6" w:rsidRPr="00052450">
        <w:rPr>
          <w:rFonts w:ascii="Verdana" w:hAnsi="Verdana"/>
          <w:bCs/>
          <w:sz w:val="22"/>
          <w:szCs w:val="22"/>
        </w:rPr>
        <w:t xml:space="preserve"> significativas</w:t>
      </w:r>
      <w:r w:rsidR="005D0B2D" w:rsidRPr="00052450">
        <w:rPr>
          <w:rFonts w:ascii="Verdana" w:hAnsi="Verdana"/>
          <w:bCs/>
          <w:sz w:val="22"/>
          <w:szCs w:val="22"/>
        </w:rPr>
        <w:t xml:space="preserve"> en el STR, escenarios de red degradada, una modelación simplificada pero más ajustada </w:t>
      </w:r>
      <w:r w:rsidR="008E1DB6" w:rsidRPr="00052450">
        <w:rPr>
          <w:rFonts w:ascii="Verdana" w:hAnsi="Verdana"/>
          <w:bCs/>
          <w:sz w:val="22"/>
          <w:szCs w:val="22"/>
        </w:rPr>
        <w:t>a la realidad</w:t>
      </w:r>
      <w:r w:rsidR="003E2065" w:rsidRPr="00052450">
        <w:rPr>
          <w:rFonts w:ascii="Verdana" w:hAnsi="Verdana"/>
          <w:bCs/>
          <w:sz w:val="22"/>
          <w:szCs w:val="22"/>
        </w:rPr>
        <w:t xml:space="preserve"> operativa</w:t>
      </w:r>
      <w:r w:rsidR="008E1DB6" w:rsidRPr="00052450">
        <w:rPr>
          <w:rFonts w:ascii="Verdana" w:hAnsi="Verdana"/>
          <w:bCs/>
          <w:sz w:val="22"/>
          <w:szCs w:val="22"/>
        </w:rPr>
        <w:t xml:space="preserve"> </w:t>
      </w:r>
      <w:r w:rsidR="005D0B2D" w:rsidRPr="00052450">
        <w:rPr>
          <w:rFonts w:ascii="Verdana" w:hAnsi="Verdana"/>
          <w:bCs/>
          <w:sz w:val="22"/>
          <w:szCs w:val="22"/>
        </w:rPr>
        <w:t>de los ciclos combinados, almacenamiento electroquímico</w:t>
      </w:r>
      <w:r w:rsidR="008E1DB6" w:rsidRPr="00052450">
        <w:rPr>
          <w:rFonts w:ascii="Verdana" w:hAnsi="Verdana"/>
          <w:bCs/>
          <w:sz w:val="22"/>
          <w:szCs w:val="22"/>
        </w:rPr>
        <w:t xml:space="preserve"> bajo diferentes modos de control, incorporación de la regla operativa de Ituango, algunas restricciones a los aprovechamientos hidrológicos, inclusión de las restricciones linealizadas de inercia (Nadir, R</w:t>
      </w:r>
      <w:r w:rsidR="003E2065" w:rsidRPr="00052450">
        <w:rPr>
          <w:rFonts w:ascii="Verdana" w:hAnsi="Verdana"/>
          <w:bCs/>
          <w:sz w:val="22"/>
          <w:szCs w:val="22"/>
        </w:rPr>
        <w:t>ocof y desviación</w:t>
      </w:r>
      <w:r w:rsidR="00251A8B">
        <w:rPr>
          <w:rFonts w:ascii="Verdana" w:hAnsi="Verdana"/>
          <w:bCs/>
          <w:sz w:val="22"/>
          <w:szCs w:val="22"/>
        </w:rPr>
        <w:t xml:space="preserve"> de frecuencia</w:t>
      </w:r>
      <w:r w:rsidR="003E2065" w:rsidRPr="00052450">
        <w:rPr>
          <w:rFonts w:ascii="Verdana" w:hAnsi="Verdana"/>
          <w:bCs/>
          <w:sz w:val="22"/>
          <w:szCs w:val="22"/>
        </w:rPr>
        <w:t xml:space="preserve"> en estado estable</w:t>
      </w:r>
      <w:r w:rsidR="008E1DB6" w:rsidRPr="00052450">
        <w:rPr>
          <w:rFonts w:ascii="Verdana" w:hAnsi="Verdana"/>
          <w:bCs/>
          <w:sz w:val="22"/>
          <w:szCs w:val="22"/>
        </w:rPr>
        <w:t>)</w:t>
      </w:r>
      <w:r w:rsidR="003E2065" w:rsidRPr="00052450">
        <w:rPr>
          <w:rFonts w:ascii="Verdana" w:hAnsi="Verdana"/>
          <w:bCs/>
          <w:sz w:val="22"/>
          <w:szCs w:val="22"/>
        </w:rPr>
        <w:t>, restricciones simplificadas del sector gas (incorporación exógena) y algunos escenarios de participación de la respuesta de la demanda.</w:t>
      </w:r>
    </w:p>
    <w:p w14:paraId="2DCA25DB" w14:textId="437BFBA1" w:rsidR="003E2065" w:rsidRPr="00052450" w:rsidRDefault="003E2065">
      <w:pPr>
        <w:pStyle w:val="Prrafodelista"/>
        <w:ind w:left="360"/>
        <w:jc w:val="both"/>
        <w:rPr>
          <w:rFonts w:ascii="Verdana" w:hAnsi="Verdana"/>
          <w:bCs/>
          <w:sz w:val="22"/>
          <w:szCs w:val="22"/>
        </w:rPr>
      </w:pPr>
    </w:p>
    <w:p w14:paraId="730557BB" w14:textId="6FDA4A74" w:rsidR="00E358A5" w:rsidRPr="00024171" w:rsidRDefault="003E2065" w:rsidP="00024171">
      <w:pPr>
        <w:pStyle w:val="Prrafodelista"/>
        <w:ind w:left="360"/>
        <w:jc w:val="both"/>
        <w:rPr>
          <w:rFonts w:ascii="Verdana" w:hAnsi="Verdana"/>
          <w:bCs/>
          <w:sz w:val="22"/>
          <w:szCs w:val="22"/>
        </w:rPr>
      </w:pPr>
      <w:r w:rsidRPr="00052450">
        <w:rPr>
          <w:rFonts w:ascii="Verdana" w:hAnsi="Verdana"/>
          <w:bCs/>
          <w:sz w:val="22"/>
          <w:szCs w:val="22"/>
        </w:rPr>
        <w:t xml:space="preserve">Lo anterior es fundamental, ya que, con estas adiciones, se podrá establecer de manera más realista si el SIN está preparado para incorporar 6 GW de capacidad de plantas eólicas y solares fotovoltaicas. </w:t>
      </w:r>
    </w:p>
    <w:p w14:paraId="32F319A3" w14:textId="412A56E1" w:rsidR="00E358A5" w:rsidRPr="00052450" w:rsidRDefault="00E358A5" w:rsidP="00024171">
      <w:pPr>
        <w:pStyle w:val="Prrafodelista"/>
        <w:ind w:left="360"/>
        <w:jc w:val="both"/>
        <w:rPr>
          <w:rFonts w:ascii="Verdana" w:hAnsi="Verdana"/>
          <w:bCs/>
          <w:sz w:val="22"/>
          <w:szCs w:val="22"/>
        </w:rPr>
      </w:pPr>
    </w:p>
    <w:p w14:paraId="7E8D6129" w14:textId="1FEE4F59" w:rsidR="00E358A5" w:rsidRPr="00052450" w:rsidRDefault="003E2065">
      <w:pPr>
        <w:pStyle w:val="Prrafodelista"/>
        <w:numPr>
          <w:ilvl w:val="0"/>
          <w:numId w:val="17"/>
        </w:numPr>
        <w:jc w:val="both"/>
        <w:rPr>
          <w:rFonts w:ascii="Verdana" w:hAnsi="Verdana"/>
          <w:bCs/>
          <w:sz w:val="22"/>
          <w:szCs w:val="22"/>
        </w:rPr>
      </w:pPr>
      <w:r w:rsidRPr="00052450">
        <w:rPr>
          <w:rFonts w:ascii="Verdana" w:hAnsi="Verdana"/>
          <w:bCs/>
          <w:sz w:val="22"/>
          <w:szCs w:val="22"/>
        </w:rPr>
        <w:t>El día de hoy</w:t>
      </w:r>
      <w:r w:rsidR="00024171">
        <w:rPr>
          <w:rFonts w:ascii="Verdana" w:hAnsi="Verdana"/>
          <w:bCs/>
          <w:sz w:val="22"/>
          <w:szCs w:val="22"/>
        </w:rPr>
        <w:t xml:space="preserve"> </w:t>
      </w:r>
      <w:r w:rsidRPr="00052450">
        <w:rPr>
          <w:rFonts w:ascii="Verdana" w:hAnsi="Verdana"/>
          <w:bCs/>
          <w:sz w:val="22"/>
          <w:szCs w:val="22"/>
        </w:rPr>
        <w:t xml:space="preserve">se llevará a cabo una </w:t>
      </w:r>
      <w:r w:rsidR="00E358A5" w:rsidRPr="00052450">
        <w:rPr>
          <w:rFonts w:ascii="Verdana" w:hAnsi="Verdana"/>
          <w:bCs/>
          <w:sz w:val="22"/>
          <w:szCs w:val="22"/>
        </w:rPr>
        <w:t>Reunión</w:t>
      </w:r>
      <w:r w:rsidRPr="00052450">
        <w:rPr>
          <w:rFonts w:ascii="Verdana" w:hAnsi="Verdana"/>
          <w:bCs/>
          <w:sz w:val="22"/>
          <w:szCs w:val="22"/>
        </w:rPr>
        <w:t xml:space="preserve"> con </w:t>
      </w:r>
      <w:r w:rsidR="00F108A3" w:rsidRPr="00052450">
        <w:rPr>
          <w:rFonts w:ascii="Verdana" w:hAnsi="Verdana"/>
          <w:bCs/>
          <w:sz w:val="22"/>
          <w:szCs w:val="22"/>
        </w:rPr>
        <w:t>la</w:t>
      </w:r>
      <w:r w:rsidR="00E358A5" w:rsidRPr="00052450">
        <w:rPr>
          <w:rFonts w:ascii="Verdana" w:hAnsi="Verdana"/>
          <w:bCs/>
          <w:sz w:val="22"/>
          <w:szCs w:val="22"/>
        </w:rPr>
        <w:t xml:space="preserve"> CREG</w:t>
      </w:r>
      <w:r w:rsidRPr="00052450">
        <w:rPr>
          <w:rFonts w:ascii="Verdana" w:hAnsi="Verdana"/>
          <w:bCs/>
          <w:sz w:val="22"/>
          <w:szCs w:val="22"/>
        </w:rPr>
        <w:t xml:space="preserve"> sobre el estado de la actualización de los principales </w:t>
      </w:r>
      <w:r w:rsidR="0026220B" w:rsidRPr="00052450">
        <w:rPr>
          <w:rFonts w:ascii="Verdana" w:hAnsi="Verdana"/>
          <w:bCs/>
          <w:sz w:val="22"/>
          <w:szCs w:val="22"/>
        </w:rPr>
        <w:t>parámetros</w:t>
      </w:r>
      <w:r w:rsidRPr="00052450">
        <w:rPr>
          <w:rFonts w:ascii="Verdana" w:hAnsi="Verdana"/>
          <w:bCs/>
          <w:sz w:val="22"/>
          <w:szCs w:val="22"/>
        </w:rPr>
        <w:t xml:space="preserve"> del Cargo por Confiabilidad para las diferentes tecnologías de generación en el SIN. La Comisión quiere conocer, de cara a un posible fenómeno de El Niño en el periodo 2020-2021, </w:t>
      </w:r>
      <w:r w:rsidR="00F108A3" w:rsidRPr="00052450">
        <w:rPr>
          <w:rFonts w:ascii="Verdana" w:hAnsi="Verdana"/>
          <w:bCs/>
          <w:sz w:val="22"/>
          <w:szCs w:val="22"/>
        </w:rPr>
        <w:t>como está el estado de las batimetrías, factor de convención, capacidad efectiva neta, consumo específico, serie histórica de recurso</w:t>
      </w:r>
      <w:r w:rsidR="00251A8B">
        <w:rPr>
          <w:rFonts w:ascii="Verdana" w:hAnsi="Verdana"/>
          <w:bCs/>
          <w:sz w:val="22"/>
          <w:szCs w:val="22"/>
        </w:rPr>
        <w:t>s</w:t>
      </w:r>
      <w:r w:rsidR="00F108A3" w:rsidRPr="00052450">
        <w:rPr>
          <w:rFonts w:ascii="Verdana" w:hAnsi="Verdana"/>
          <w:bCs/>
          <w:sz w:val="22"/>
          <w:szCs w:val="22"/>
        </w:rPr>
        <w:t xml:space="preserve">, entre otros parámetros. </w:t>
      </w:r>
      <w:r w:rsidRPr="00052450">
        <w:rPr>
          <w:rFonts w:ascii="Verdana" w:hAnsi="Verdana"/>
          <w:bCs/>
          <w:sz w:val="22"/>
          <w:szCs w:val="22"/>
        </w:rPr>
        <w:t xml:space="preserve"> </w:t>
      </w:r>
    </w:p>
    <w:p w14:paraId="40A3FFAE" w14:textId="77777777" w:rsidR="0026220B" w:rsidRPr="00024171" w:rsidRDefault="0026220B" w:rsidP="00024171">
      <w:pPr>
        <w:pStyle w:val="Prrafodelista"/>
        <w:jc w:val="both"/>
        <w:rPr>
          <w:rFonts w:ascii="Verdana" w:hAnsi="Verdana"/>
          <w:bCs/>
          <w:sz w:val="22"/>
          <w:szCs w:val="22"/>
        </w:rPr>
      </w:pPr>
    </w:p>
    <w:p w14:paraId="1D6E3EA1" w14:textId="1466D696" w:rsidR="00C71C46" w:rsidRPr="00024171" w:rsidRDefault="00C71C46" w:rsidP="00024171">
      <w:pPr>
        <w:pStyle w:val="Prrafodelista"/>
        <w:numPr>
          <w:ilvl w:val="0"/>
          <w:numId w:val="17"/>
        </w:numPr>
        <w:jc w:val="both"/>
      </w:pPr>
      <w:r w:rsidRPr="00024171">
        <w:rPr>
          <w:rFonts w:ascii="Verdana" w:hAnsi="Verdana"/>
          <w:bCs/>
          <w:sz w:val="22"/>
          <w:szCs w:val="22"/>
        </w:rPr>
        <w:t>El subcomité de Plantas revisó la posibilidad de optimizar algunas pruebas en las unidades de generación, para minimizar las horas de indisponibilidad de estas centrales. Las conclusiones del subcomité fueron las siguientes:</w:t>
      </w:r>
    </w:p>
    <w:p w14:paraId="327530AB" w14:textId="77777777" w:rsidR="00C71C46" w:rsidRPr="00024171" w:rsidRDefault="00C71C46" w:rsidP="00024171">
      <w:pPr>
        <w:pStyle w:val="Prrafodelista"/>
        <w:ind w:left="360"/>
        <w:jc w:val="both"/>
        <w:rPr>
          <w:rFonts w:ascii="Verdana" w:hAnsi="Verdana"/>
          <w:bCs/>
          <w:sz w:val="22"/>
          <w:szCs w:val="22"/>
        </w:rPr>
      </w:pPr>
    </w:p>
    <w:p w14:paraId="6C556A3E" w14:textId="4842F662" w:rsidR="00C71C46" w:rsidRPr="00052450" w:rsidRDefault="00C71C46">
      <w:pPr>
        <w:pStyle w:val="Prrafodelista"/>
        <w:numPr>
          <w:ilvl w:val="1"/>
          <w:numId w:val="17"/>
        </w:numPr>
        <w:jc w:val="both"/>
        <w:rPr>
          <w:rFonts w:ascii="Verdana" w:hAnsi="Verdana"/>
          <w:bCs/>
          <w:sz w:val="22"/>
          <w:szCs w:val="22"/>
        </w:rPr>
      </w:pPr>
      <w:r w:rsidRPr="00052450">
        <w:rPr>
          <w:rFonts w:ascii="Verdana" w:hAnsi="Verdana"/>
          <w:bCs/>
          <w:sz w:val="22"/>
          <w:szCs w:val="22"/>
        </w:rPr>
        <w:t>E</w:t>
      </w:r>
      <w:r w:rsidR="00723CA5" w:rsidRPr="00052450">
        <w:rPr>
          <w:rFonts w:ascii="Verdana" w:hAnsi="Verdana"/>
          <w:bCs/>
          <w:sz w:val="22"/>
          <w:szCs w:val="22"/>
        </w:rPr>
        <w:t>xisten pruebas que son previamente coordinadas con el CND</w:t>
      </w:r>
      <w:r w:rsidRPr="00052450">
        <w:rPr>
          <w:rFonts w:ascii="Verdana" w:hAnsi="Verdana"/>
          <w:bCs/>
          <w:sz w:val="22"/>
          <w:szCs w:val="22"/>
        </w:rPr>
        <w:t>,</w:t>
      </w:r>
      <w:r w:rsidR="00723CA5" w:rsidRPr="00052450">
        <w:rPr>
          <w:rFonts w:ascii="Verdana" w:hAnsi="Verdana"/>
          <w:bCs/>
          <w:sz w:val="22"/>
          <w:szCs w:val="22"/>
        </w:rPr>
        <w:t xml:space="preserve"> y de esta manera son organizadas para que no </w:t>
      </w:r>
      <w:r w:rsidR="00AE2AAD" w:rsidRPr="00052450">
        <w:rPr>
          <w:rFonts w:ascii="Verdana" w:hAnsi="Verdana"/>
          <w:bCs/>
          <w:sz w:val="22"/>
          <w:szCs w:val="22"/>
        </w:rPr>
        <w:t>se presente simultaneidad</w:t>
      </w:r>
      <w:r w:rsidRPr="00052450">
        <w:rPr>
          <w:rFonts w:ascii="Verdana" w:hAnsi="Verdana"/>
          <w:bCs/>
          <w:sz w:val="22"/>
          <w:szCs w:val="22"/>
        </w:rPr>
        <w:t xml:space="preserve"> con otras intervenciones</w:t>
      </w:r>
      <w:r w:rsidR="00AE2AAD" w:rsidRPr="00052450">
        <w:rPr>
          <w:rFonts w:ascii="Verdana" w:hAnsi="Verdana"/>
          <w:bCs/>
          <w:sz w:val="22"/>
          <w:szCs w:val="22"/>
        </w:rPr>
        <w:t>.</w:t>
      </w:r>
    </w:p>
    <w:p w14:paraId="27BC6190" w14:textId="77777777" w:rsidR="00C71C46" w:rsidRPr="00052450" w:rsidRDefault="00C71C46" w:rsidP="00024171">
      <w:pPr>
        <w:pStyle w:val="Prrafodelista"/>
        <w:ind w:left="1080"/>
        <w:jc w:val="both"/>
        <w:rPr>
          <w:rFonts w:ascii="Verdana" w:hAnsi="Verdana"/>
          <w:bCs/>
          <w:sz w:val="22"/>
          <w:szCs w:val="22"/>
        </w:rPr>
      </w:pPr>
    </w:p>
    <w:p w14:paraId="32307675" w14:textId="38B58BAE" w:rsidR="00723CA5" w:rsidRPr="00024171" w:rsidRDefault="00C71C46" w:rsidP="00024171">
      <w:pPr>
        <w:pStyle w:val="Prrafodelista"/>
        <w:numPr>
          <w:ilvl w:val="1"/>
          <w:numId w:val="17"/>
        </w:numPr>
        <w:jc w:val="both"/>
        <w:rPr>
          <w:rFonts w:ascii="Verdana" w:hAnsi="Verdana"/>
          <w:bCs/>
          <w:sz w:val="22"/>
          <w:szCs w:val="22"/>
        </w:rPr>
      </w:pPr>
      <w:r w:rsidRPr="00024171">
        <w:rPr>
          <w:rFonts w:ascii="Verdana" w:hAnsi="Verdana"/>
          <w:bCs/>
          <w:sz w:val="22"/>
          <w:szCs w:val="22"/>
        </w:rPr>
        <w:t>L</w:t>
      </w:r>
      <w:r w:rsidR="00723CA5" w:rsidRPr="00024171">
        <w:rPr>
          <w:rFonts w:ascii="Verdana" w:hAnsi="Verdana"/>
          <w:bCs/>
          <w:sz w:val="22"/>
          <w:szCs w:val="22"/>
        </w:rPr>
        <w:t xml:space="preserve">a programación de pruebas con un horizonte semanal no </w:t>
      </w:r>
      <w:r w:rsidRPr="00024171">
        <w:rPr>
          <w:rFonts w:ascii="Verdana" w:hAnsi="Verdana"/>
          <w:bCs/>
          <w:sz w:val="22"/>
          <w:szCs w:val="22"/>
        </w:rPr>
        <w:t>tiene</w:t>
      </w:r>
      <w:r w:rsidR="00723CA5" w:rsidRPr="00024171">
        <w:rPr>
          <w:rFonts w:ascii="Verdana" w:hAnsi="Verdana"/>
          <w:bCs/>
          <w:sz w:val="22"/>
          <w:szCs w:val="22"/>
        </w:rPr>
        <w:t xml:space="preserve"> firmeza, dado los inconvenientes que podrían presentarse en el desarrollo de la operación</w:t>
      </w:r>
      <w:r w:rsidR="00AE2AAD" w:rsidRPr="00024171">
        <w:rPr>
          <w:rFonts w:ascii="Verdana" w:hAnsi="Verdana"/>
          <w:bCs/>
          <w:sz w:val="22"/>
          <w:szCs w:val="22"/>
        </w:rPr>
        <w:t>,</w:t>
      </w:r>
      <w:r w:rsidR="00723CA5" w:rsidRPr="00024171">
        <w:rPr>
          <w:rFonts w:ascii="Verdana" w:hAnsi="Verdana"/>
          <w:bCs/>
          <w:sz w:val="22"/>
          <w:szCs w:val="22"/>
        </w:rPr>
        <w:t xml:space="preserve"> </w:t>
      </w:r>
      <w:r w:rsidRPr="00024171">
        <w:rPr>
          <w:rFonts w:ascii="Verdana" w:hAnsi="Verdana"/>
          <w:bCs/>
          <w:sz w:val="22"/>
          <w:szCs w:val="22"/>
        </w:rPr>
        <w:t>y que podrían ameritar</w:t>
      </w:r>
      <w:r w:rsidR="00723CA5" w:rsidRPr="00024171">
        <w:rPr>
          <w:rFonts w:ascii="Verdana" w:hAnsi="Verdana"/>
          <w:bCs/>
          <w:sz w:val="22"/>
          <w:szCs w:val="22"/>
        </w:rPr>
        <w:t xml:space="preserve"> la programación de pruebas no planeadas, </w:t>
      </w:r>
      <w:r w:rsidRPr="00024171">
        <w:rPr>
          <w:rFonts w:ascii="Verdana" w:hAnsi="Verdana"/>
          <w:bCs/>
          <w:sz w:val="22"/>
          <w:szCs w:val="22"/>
        </w:rPr>
        <w:t>necesarias para</w:t>
      </w:r>
      <w:r w:rsidR="00723CA5" w:rsidRPr="00024171">
        <w:rPr>
          <w:rFonts w:ascii="Verdana" w:hAnsi="Verdana"/>
          <w:bCs/>
          <w:sz w:val="22"/>
          <w:szCs w:val="22"/>
        </w:rPr>
        <w:t xml:space="preserve"> mantener </w:t>
      </w:r>
      <w:r w:rsidRPr="00024171">
        <w:rPr>
          <w:rFonts w:ascii="Verdana" w:hAnsi="Verdana"/>
          <w:bCs/>
          <w:sz w:val="22"/>
          <w:szCs w:val="22"/>
        </w:rPr>
        <w:t>la</w:t>
      </w:r>
      <w:r w:rsidR="00723CA5" w:rsidRPr="00024171">
        <w:rPr>
          <w:rFonts w:ascii="Verdana" w:hAnsi="Verdana"/>
          <w:bCs/>
          <w:sz w:val="22"/>
          <w:szCs w:val="22"/>
        </w:rPr>
        <w:t xml:space="preserve"> disponibilidad </w:t>
      </w:r>
      <w:r w:rsidRPr="00024171">
        <w:rPr>
          <w:rFonts w:ascii="Verdana" w:hAnsi="Verdana"/>
          <w:bCs/>
          <w:sz w:val="22"/>
          <w:szCs w:val="22"/>
        </w:rPr>
        <w:t>de los</w:t>
      </w:r>
      <w:r w:rsidR="00723CA5" w:rsidRPr="00024171">
        <w:rPr>
          <w:rFonts w:ascii="Verdana" w:hAnsi="Verdana"/>
          <w:bCs/>
          <w:sz w:val="22"/>
          <w:szCs w:val="22"/>
        </w:rPr>
        <w:t xml:space="preserve"> recursos de generación para el SIN.</w:t>
      </w:r>
    </w:p>
    <w:p w14:paraId="2C90AC40" w14:textId="77777777" w:rsidR="00C71C46" w:rsidRPr="00052450" w:rsidRDefault="00C71C46">
      <w:pPr>
        <w:jc w:val="both"/>
        <w:rPr>
          <w:rFonts w:ascii="Verdana" w:hAnsi="Verdana"/>
          <w:bCs/>
          <w:sz w:val="22"/>
          <w:szCs w:val="22"/>
        </w:rPr>
      </w:pPr>
    </w:p>
    <w:p w14:paraId="4CE8E29D" w14:textId="4BF2E8CA" w:rsidR="00C71C46" w:rsidRPr="00024171" w:rsidRDefault="00C71C46" w:rsidP="00024171">
      <w:pPr>
        <w:pStyle w:val="Prrafodelista"/>
        <w:numPr>
          <w:ilvl w:val="1"/>
          <w:numId w:val="17"/>
        </w:numPr>
        <w:jc w:val="both"/>
      </w:pPr>
      <w:r w:rsidRPr="00024171">
        <w:rPr>
          <w:rFonts w:ascii="Verdana" w:hAnsi="Verdana"/>
          <w:bCs/>
          <w:sz w:val="22"/>
          <w:szCs w:val="22"/>
        </w:rPr>
        <w:t>El CND</w:t>
      </w:r>
      <w:r w:rsidR="00723CA5" w:rsidRPr="00024171">
        <w:rPr>
          <w:rFonts w:ascii="Verdana" w:hAnsi="Verdana"/>
          <w:bCs/>
          <w:sz w:val="22"/>
          <w:szCs w:val="22"/>
        </w:rPr>
        <w:t xml:space="preserve"> puede realizar la cancelación de pruebas por motivos de seguridad, incluso </w:t>
      </w:r>
      <w:r w:rsidR="00AE2AAD" w:rsidRPr="00024171">
        <w:rPr>
          <w:rFonts w:ascii="Verdana" w:hAnsi="Verdana"/>
          <w:bCs/>
          <w:sz w:val="22"/>
          <w:szCs w:val="22"/>
        </w:rPr>
        <w:t xml:space="preserve">habiéndose </w:t>
      </w:r>
      <w:r w:rsidRPr="00024171">
        <w:rPr>
          <w:rFonts w:ascii="Verdana" w:hAnsi="Verdana"/>
          <w:bCs/>
          <w:sz w:val="22"/>
          <w:szCs w:val="22"/>
        </w:rPr>
        <w:t>implementado</w:t>
      </w:r>
      <w:r w:rsidR="00723CA5" w:rsidRPr="00024171">
        <w:rPr>
          <w:rFonts w:ascii="Verdana" w:hAnsi="Verdana"/>
          <w:bCs/>
          <w:sz w:val="22"/>
          <w:szCs w:val="22"/>
        </w:rPr>
        <w:t xml:space="preserve"> un esquema de planeación </w:t>
      </w:r>
      <w:r w:rsidRPr="00024171">
        <w:rPr>
          <w:rFonts w:ascii="Verdana" w:hAnsi="Verdana"/>
          <w:bCs/>
          <w:sz w:val="22"/>
          <w:szCs w:val="22"/>
        </w:rPr>
        <w:t>con resolución semanal.</w:t>
      </w:r>
    </w:p>
    <w:p w14:paraId="4FA31AAA" w14:textId="77777777" w:rsidR="00C71C46" w:rsidRPr="00024171" w:rsidRDefault="00C71C46" w:rsidP="00024171">
      <w:pPr>
        <w:pStyle w:val="Prrafodelista"/>
        <w:ind w:left="1080"/>
        <w:jc w:val="both"/>
      </w:pPr>
    </w:p>
    <w:p w14:paraId="7430D80D" w14:textId="77777777" w:rsidR="00C71C46" w:rsidRPr="00024171" w:rsidRDefault="00C71C46" w:rsidP="00024171">
      <w:pPr>
        <w:pStyle w:val="Prrafodelista"/>
        <w:numPr>
          <w:ilvl w:val="1"/>
          <w:numId w:val="17"/>
        </w:numPr>
        <w:jc w:val="both"/>
      </w:pPr>
      <w:r w:rsidRPr="00024171">
        <w:rPr>
          <w:rFonts w:ascii="Verdana" w:hAnsi="Verdana"/>
          <w:bCs/>
          <w:sz w:val="22"/>
          <w:szCs w:val="22"/>
        </w:rPr>
        <w:t>No</w:t>
      </w:r>
      <w:r w:rsidR="00AE2AAD" w:rsidRPr="00024171">
        <w:rPr>
          <w:rFonts w:ascii="Verdana" w:hAnsi="Verdana"/>
          <w:bCs/>
          <w:sz w:val="22"/>
          <w:szCs w:val="22"/>
        </w:rPr>
        <w:t xml:space="preserve"> </w:t>
      </w:r>
      <w:r w:rsidRPr="00052450">
        <w:rPr>
          <w:rFonts w:ascii="Verdana" w:hAnsi="Verdana"/>
          <w:bCs/>
          <w:sz w:val="22"/>
          <w:szCs w:val="22"/>
        </w:rPr>
        <w:t>es</w:t>
      </w:r>
      <w:r w:rsidR="00AE2AAD" w:rsidRPr="00024171">
        <w:rPr>
          <w:rFonts w:ascii="Verdana" w:hAnsi="Verdana"/>
          <w:bCs/>
          <w:sz w:val="22"/>
          <w:szCs w:val="22"/>
        </w:rPr>
        <w:t xml:space="preserve"> viable agrupar </w:t>
      </w:r>
      <w:r w:rsidRPr="00052450">
        <w:rPr>
          <w:rFonts w:ascii="Verdana" w:hAnsi="Verdana"/>
          <w:bCs/>
          <w:sz w:val="22"/>
          <w:szCs w:val="22"/>
        </w:rPr>
        <w:t xml:space="preserve">bajo algún esquema </w:t>
      </w:r>
      <w:r w:rsidRPr="00024171">
        <w:rPr>
          <w:rFonts w:ascii="Verdana" w:hAnsi="Verdana"/>
          <w:bCs/>
          <w:sz w:val="22"/>
          <w:szCs w:val="22"/>
          <w:u w:val="single"/>
        </w:rPr>
        <w:t>todas</w:t>
      </w:r>
      <w:r w:rsidRPr="00052450">
        <w:rPr>
          <w:rFonts w:ascii="Verdana" w:hAnsi="Verdana"/>
          <w:bCs/>
          <w:sz w:val="22"/>
          <w:szCs w:val="22"/>
        </w:rPr>
        <w:t xml:space="preserve"> </w:t>
      </w:r>
      <w:r w:rsidR="00AE2AAD" w:rsidRPr="00024171">
        <w:rPr>
          <w:rFonts w:ascii="Verdana" w:hAnsi="Verdana"/>
          <w:bCs/>
          <w:sz w:val="22"/>
          <w:szCs w:val="22"/>
        </w:rPr>
        <w:t xml:space="preserve">las pruebas existentes. </w:t>
      </w:r>
    </w:p>
    <w:p w14:paraId="15D82067" w14:textId="77777777" w:rsidR="00C71C46" w:rsidRPr="00024171" w:rsidRDefault="00C71C46" w:rsidP="00024171">
      <w:pPr>
        <w:pStyle w:val="Prrafodelista"/>
        <w:ind w:left="1080"/>
        <w:jc w:val="both"/>
      </w:pPr>
    </w:p>
    <w:p w14:paraId="5F53A6C4" w14:textId="77777777" w:rsidR="00052450" w:rsidRPr="00024171" w:rsidRDefault="00C71C46" w:rsidP="00024171">
      <w:pPr>
        <w:pStyle w:val="Prrafodelista"/>
        <w:numPr>
          <w:ilvl w:val="1"/>
          <w:numId w:val="17"/>
        </w:numPr>
        <w:jc w:val="both"/>
      </w:pPr>
      <w:r w:rsidRPr="00052450">
        <w:rPr>
          <w:rFonts w:ascii="Verdana" w:hAnsi="Verdana"/>
          <w:bCs/>
          <w:sz w:val="22"/>
          <w:szCs w:val="22"/>
        </w:rPr>
        <w:t>Las pruebas por unidad, una vez esté en firme el articulado</w:t>
      </w:r>
      <w:r w:rsidR="00052450" w:rsidRPr="00052450">
        <w:rPr>
          <w:rFonts w:ascii="Verdana" w:hAnsi="Verdana"/>
          <w:bCs/>
          <w:sz w:val="22"/>
          <w:szCs w:val="22"/>
        </w:rPr>
        <w:t xml:space="preserve"> específico</w:t>
      </w:r>
      <w:r w:rsidRPr="00052450">
        <w:rPr>
          <w:rFonts w:ascii="Verdana" w:hAnsi="Verdana"/>
          <w:bCs/>
          <w:sz w:val="22"/>
          <w:szCs w:val="22"/>
        </w:rPr>
        <w:t xml:space="preserve"> </w:t>
      </w:r>
      <w:r w:rsidR="00052450" w:rsidRPr="00052450">
        <w:rPr>
          <w:rFonts w:ascii="Verdana" w:hAnsi="Verdana"/>
          <w:bCs/>
          <w:sz w:val="22"/>
          <w:szCs w:val="22"/>
        </w:rPr>
        <w:t>de</w:t>
      </w:r>
      <w:r w:rsidRPr="00052450">
        <w:rPr>
          <w:rFonts w:ascii="Verdana" w:hAnsi="Verdana"/>
          <w:bCs/>
          <w:sz w:val="22"/>
          <w:szCs w:val="22"/>
        </w:rPr>
        <w:t xml:space="preserve"> la Resolución CREG 034 de 2019,</w:t>
      </w:r>
      <w:r w:rsidR="00052450" w:rsidRPr="00052450">
        <w:rPr>
          <w:rFonts w:ascii="Verdana" w:hAnsi="Verdana"/>
          <w:bCs/>
          <w:sz w:val="22"/>
          <w:szCs w:val="22"/>
        </w:rPr>
        <w:t xml:space="preserve"> reducirá la indisponibilidad de las plantas de generación en el SIN.</w:t>
      </w:r>
    </w:p>
    <w:p w14:paraId="27319056" w14:textId="77777777" w:rsidR="00052450" w:rsidRPr="00024171" w:rsidRDefault="00052450" w:rsidP="00024171">
      <w:pPr>
        <w:pStyle w:val="Prrafodelista"/>
        <w:jc w:val="both"/>
        <w:rPr>
          <w:rFonts w:ascii="Verdana" w:hAnsi="Verdana"/>
          <w:bCs/>
          <w:sz w:val="22"/>
          <w:szCs w:val="22"/>
        </w:rPr>
      </w:pPr>
    </w:p>
    <w:p w14:paraId="7D680EDD" w14:textId="1FEBEEDE" w:rsidR="00AE2AAD" w:rsidRPr="00024171" w:rsidRDefault="00052450" w:rsidP="00024171">
      <w:pPr>
        <w:pStyle w:val="Prrafodelista"/>
        <w:numPr>
          <w:ilvl w:val="1"/>
          <w:numId w:val="17"/>
        </w:numPr>
        <w:jc w:val="both"/>
      </w:pPr>
      <w:r>
        <w:rPr>
          <w:rFonts w:ascii="Verdana" w:hAnsi="Verdana"/>
          <w:bCs/>
          <w:sz w:val="22"/>
          <w:szCs w:val="22"/>
        </w:rPr>
        <w:t>L</w:t>
      </w:r>
      <w:r w:rsidR="00AE2AAD" w:rsidRPr="00024171">
        <w:rPr>
          <w:rFonts w:ascii="Verdana" w:hAnsi="Verdana"/>
          <w:bCs/>
          <w:sz w:val="22"/>
          <w:szCs w:val="22"/>
        </w:rPr>
        <w:t xml:space="preserve">as pruebas que pueden ser planeadas y coordinadas con el CND son las siguientes: Pruebas </w:t>
      </w:r>
      <w:r w:rsidRPr="00024171">
        <w:rPr>
          <w:rFonts w:ascii="Verdana" w:hAnsi="Verdana"/>
          <w:bCs/>
          <w:sz w:val="22"/>
          <w:szCs w:val="22"/>
        </w:rPr>
        <w:t>curvas de capacidad</w:t>
      </w:r>
      <w:r w:rsidR="00AE2AAD" w:rsidRPr="00024171">
        <w:rPr>
          <w:rFonts w:ascii="Verdana" w:hAnsi="Verdana"/>
          <w:bCs/>
          <w:sz w:val="22"/>
          <w:szCs w:val="22"/>
        </w:rPr>
        <w:t xml:space="preserve">, modelos, </w:t>
      </w:r>
      <w:r w:rsidR="00C71C46" w:rsidRPr="00024171">
        <w:rPr>
          <w:rFonts w:ascii="Verdana" w:hAnsi="Verdana"/>
          <w:bCs/>
          <w:sz w:val="22"/>
          <w:szCs w:val="22"/>
        </w:rPr>
        <w:t>estatismo y banda muerta</w:t>
      </w:r>
      <w:r w:rsidRPr="00024171">
        <w:rPr>
          <w:rFonts w:ascii="Verdana" w:hAnsi="Verdana"/>
          <w:bCs/>
          <w:sz w:val="22"/>
          <w:szCs w:val="22"/>
        </w:rPr>
        <w:t>.</w:t>
      </w:r>
    </w:p>
    <w:p w14:paraId="62EE630C" w14:textId="77777777" w:rsidR="00223CA5" w:rsidRPr="00024171" w:rsidRDefault="00223CA5" w:rsidP="00024171">
      <w:pPr>
        <w:jc w:val="both"/>
        <w:rPr>
          <w:rFonts w:ascii="Verdana" w:hAnsi="Verdana"/>
          <w:bCs/>
          <w:sz w:val="22"/>
          <w:szCs w:val="22"/>
        </w:rPr>
      </w:pPr>
    </w:p>
    <w:p w14:paraId="3D50CA53" w14:textId="404EC8D8" w:rsidR="009B29ED" w:rsidRPr="00024171" w:rsidRDefault="00223CA5" w:rsidP="00052450">
      <w:pPr>
        <w:pStyle w:val="Prrafodelista"/>
        <w:numPr>
          <w:ilvl w:val="0"/>
          <w:numId w:val="17"/>
        </w:numPr>
        <w:jc w:val="both"/>
        <w:rPr>
          <w:rFonts w:ascii="Verdana" w:hAnsi="Verdana"/>
          <w:bCs/>
          <w:sz w:val="22"/>
          <w:szCs w:val="22"/>
        </w:rPr>
      </w:pPr>
      <w:r w:rsidRPr="00052450">
        <w:rPr>
          <w:rFonts w:ascii="Verdana" w:hAnsi="Verdana"/>
          <w:bCs/>
          <w:sz w:val="22"/>
          <w:szCs w:val="22"/>
        </w:rPr>
        <w:t xml:space="preserve">Se llevó a cabo la </w:t>
      </w:r>
      <w:r w:rsidR="00FF6F84" w:rsidRPr="00052450">
        <w:rPr>
          <w:rFonts w:ascii="Verdana" w:hAnsi="Verdana"/>
          <w:bCs/>
          <w:sz w:val="22"/>
          <w:szCs w:val="22"/>
        </w:rPr>
        <w:t>cuarta</w:t>
      </w:r>
      <w:r w:rsidRPr="00052450">
        <w:rPr>
          <w:rFonts w:ascii="Verdana" w:hAnsi="Verdana"/>
          <w:bCs/>
          <w:sz w:val="22"/>
          <w:szCs w:val="22"/>
        </w:rPr>
        <w:t xml:space="preserve"> reunión de coordinación </w:t>
      </w:r>
      <w:r w:rsidR="007A78F9" w:rsidRPr="00052450">
        <w:rPr>
          <w:rFonts w:ascii="Verdana" w:hAnsi="Verdana"/>
          <w:bCs/>
          <w:sz w:val="22"/>
          <w:szCs w:val="22"/>
        </w:rPr>
        <w:t>G</w:t>
      </w:r>
      <w:r w:rsidRPr="00052450">
        <w:rPr>
          <w:rFonts w:ascii="Verdana" w:hAnsi="Verdana"/>
          <w:bCs/>
          <w:sz w:val="22"/>
          <w:szCs w:val="22"/>
        </w:rPr>
        <w:t>as</w:t>
      </w:r>
      <w:r w:rsidR="007A78F9" w:rsidRPr="00052450">
        <w:rPr>
          <w:rFonts w:ascii="Verdana" w:hAnsi="Verdana"/>
          <w:bCs/>
          <w:sz w:val="22"/>
          <w:szCs w:val="22"/>
        </w:rPr>
        <w:t>/E</w:t>
      </w:r>
      <w:r w:rsidRPr="00052450">
        <w:rPr>
          <w:rFonts w:ascii="Verdana" w:hAnsi="Verdana"/>
          <w:bCs/>
          <w:sz w:val="22"/>
          <w:szCs w:val="22"/>
        </w:rPr>
        <w:t xml:space="preserve">lectricidad con el CNO de gas, en la que </w:t>
      </w:r>
      <w:r w:rsidR="003A7EEB" w:rsidRPr="00052450">
        <w:rPr>
          <w:rFonts w:ascii="Verdana" w:hAnsi="Verdana"/>
          <w:bCs/>
          <w:sz w:val="22"/>
          <w:szCs w:val="22"/>
        </w:rPr>
        <w:t>se presentaron las observaciones principales del sector gas al estudio de PHC</w:t>
      </w:r>
      <w:r w:rsidR="00F108A3" w:rsidRPr="00052450">
        <w:rPr>
          <w:rFonts w:ascii="Verdana" w:hAnsi="Verdana"/>
          <w:bCs/>
          <w:sz w:val="22"/>
          <w:szCs w:val="22"/>
        </w:rPr>
        <w:t xml:space="preserve">, </w:t>
      </w:r>
      <w:r w:rsidR="003A7EEB" w:rsidRPr="00052450">
        <w:rPr>
          <w:rFonts w:ascii="Verdana" w:hAnsi="Verdana"/>
          <w:bCs/>
          <w:sz w:val="22"/>
          <w:szCs w:val="22"/>
        </w:rPr>
        <w:t>encargado por TGI</w:t>
      </w:r>
      <w:r w:rsidR="00F108A3" w:rsidRPr="00052450">
        <w:rPr>
          <w:rFonts w:ascii="Verdana" w:hAnsi="Verdana"/>
          <w:bCs/>
          <w:sz w:val="22"/>
          <w:szCs w:val="22"/>
        </w:rPr>
        <w:t xml:space="preserve">, </w:t>
      </w:r>
      <w:r w:rsidR="003A7EEB" w:rsidRPr="00052450">
        <w:rPr>
          <w:rFonts w:ascii="Verdana" w:hAnsi="Verdana"/>
          <w:bCs/>
          <w:sz w:val="22"/>
          <w:szCs w:val="22"/>
        </w:rPr>
        <w:t>sobre el almacenamiento en los gasoductos</w:t>
      </w:r>
      <w:r w:rsidR="00F108A3" w:rsidRPr="00052450">
        <w:rPr>
          <w:rFonts w:ascii="Verdana" w:hAnsi="Verdana"/>
          <w:bCs/>
          <w:sz w:val="22"/>
          <w:szCs w:val="22"/>
        </w:rPr>
        <w:t xml:space="preserve"> y el “parqueo”</w:t>
      </w:r>
      <w:r w:rsidR="003A7EEB" w:rsidRPr="00052450">
        <w:rPr>
          <w:rFonts w:ascii="Verdana" w:hAnsi="Verdana"/>
          <w:bCs/>
          <w:sz w:val="22"/>
          <w:szCs w:val="22"/>
        </w:rPr>
        <w:t>.</w:t>
      </w:r>
      <w:r w:rsidR="00F108A3" w:rsidRPr="00052450">
        <w:rPr>
          <w:rFonts w:ascii="Verdana" w:hAnsi="Verdana"/>
          <w:bCs/>
          <w:sz w:val="22"/>
          <w:szCs w:val="22"/>
        </w:rPr>
        <w:t xml:space="preserve"> </w:t>
      </w:r>
      <w:r w:rsidR="00723CA5" w:rsidRPr="00052450">
        <w:rPr>
          <w:rFonts w:ascii="Verdana" w:hAnsi="Verdana"/>
          <w:bCs/>
          <w:sz w:val="22"/>
          <w:szCs w:val="22"/>
        </w:rPr>
        <w:t xml:space="preserve">El mismo tiene relación con el estudio del CND sobre la flexibilidad sistémica, ya que en la práctica dicho servicio le permitiría a la flota térmica responder de mejor manera a la variabilidad de las fuentes VRE, si así lo requiere el Sistema de Potencia Colombiano. </w:t>
      </w:r>
      <w:r w:rsidR="00723CA5" w:rsidRPr="00024171">
        <w:rPr>
          <w:rFonts w:ascii="Verdana" w:hAnsi="Verdana"/>
          <w:bCs/>
          <w:sz w:val="22"/>
          <w:szCs w:val="22"/>
        </w:rPr>
        <w:t>La presentación del estudio puede ser consultada en la página web del Consejo.</w:t>
      </w:r>
      <w:r w:rsidR="00F108A3" w:rsidRPr="00024171">
        <w:rPr>
          <w:rFonts w:ascii="Verdana" w:hAnsi="Verdana"/>
          <w:bCs/>
          <w:sz w:val="22"/>
          <w:szCs w:val="22"/>
        </w:rPr>
        <w:t xml:space="preserve"> </w:t>
      </w:r>
    </w:p>
    <w:p w14:paraId="3365E03F" w14:textId="1EE4529C" w:rsidR="00052450" w:rsidRDefault="00052450" w:rsidP="00024171">
      <w:pPr>
        <w:pStyle w:val="Prrafodelista"/>
        <w:ind w:left="360"/>
        <w:jc w:val="both"/>
        <w:rPr>
          <w:rFonts w:ascii="Verdana" w:hAnsi="Verdana"/>
          <w:bCs/>
          <w:sz w:val="22"/>
          <w:szCs w:val="22"/>
        </w:rPr>
      </w:pPr>
    </w:p>
    <w:p w14:paraId="153D9E1D" w14:textId="73F65C86" w:rsidR="00052450" w:rsidRDefault="000D0FE5" w:rsidP="00052450">
      <w:pPr>
        <w:pStyle w:val="Prrafodelista"/>
        <w:numPr>
          <w:ilvl w:val="0"/>
          <w:numId w:val="17"/>
        </w:numPr>
        <w:jc w:val="both"/>
        <w:rPr>
          <w:rFonts w:ascii="Verdana" w:hAnsi="Verdana"/>
          <w:bCs/>
          <w:sz w:val="22"/>
          <w:szCs w:val="22"/>
        </w:rPr>
      </w:pPr>
      <w:r>
        <w:rPr>
          <w:rFonts w:ascii="Verdana" w:hAnsi="Verdana"/>
          <w:bCs/>
          <w:sz w:val="22"/>
          <w:szCs w:val="22"/>
        </w:rPr>
        <w:t>El CND presentó en el SAPE los a</w:t>
      </w:r>
      <w:r w:rsidR="00052450" w:rsidRPr="00052450">
        <w:rPr>
          <w:rFonts w:ascii="Verdana" w:hAnsi="Verdana"/>
          <w:bCs/>
          <w:sz w:val="22"/>
          <w:szCs w:val="22"/>
        </w:rPr>
        <w:t>nálisis preliminar</w:t>
      </w:r>
      <w:r>
        <w:rPr>
          <w:rFonts w:ascii="Verdana" w:hAnsi="Verdana"/>
          <w:bCs/>
          <w:sz w:val="22"/>
          <w:szCs w:val="22"/>
        </w:rPr>
        <w:t>es</w:t>
      </w:r>
      <w:r w:rsidR="00052450" w:rsidRPr="00052450">
        <w:rPr>
          <w:rFonts w:ascii="Verdana" w:hAnsi="Verdana"/>
          <w:bCs/>
          <w:sz w:val="22"/>
          <w:szCs w:val="22"/>
        </w:rPr>
        <w:t xml:space="preserve"> </w:t>
      </w:r>
      <w:r>
        <w:rPr>
          <w:rFonts w:ascii="Verdana" w:hAnsi="Verdana"/>
          <w:bCs/>
          <w:sz w:val="22"/>
          <w:szCs w:val="22"/>
        </w:rPr>
        <w:t xml:space="preserve">asociados a la instalación de un Esquema Suplementario de Protección del Sistema-ESPS tipo </w:t>
      </w:r>
      <w:r w:rsidR="00052450" w:rsidRPr="00052450">
        <w:rPr>
          <w:rFonts w:ascii="Verdana" w:hAnsi="Verdana"/>
          <w:bCs/>
          <w:sz w:val="22"/>
          <w:szCs w:val="22"/>
        </w:rPr>
        <w:t xml:space="preserve">RAG </w:t>
      </w:r>
      <w:r>
        <w:rPr>
          <w:rFonts w:ascii="Verdana" w:hAnsi="Verdana"/>
          <w:bCs/>
          <w:sz w:val="22"/>
          <w:szCs w:val="22"/>
        </w:rPr>
        <w:t xml:space="preserve">para </w:t>
      </w:r>
      <w:r w:rsidR="00024171" w:rsidRPr="00052450">
        <w:rPr>
          <w:rFonts w:ascii="Verdana" w:hAnsi="Verdana"/>
          <w:bCs/>
          <w:sz w:val="22"/>
          <w:szCs w:val="22"/>
        </w:rPr>
        <w:t>TERMOVALLE</w:t>
      </w:r>
      <w:r w:rsidR="00052450" w:rsidRPr="00052450">
        <w:rPr>
          <w:rFonts w:ascii="Verdana" w:hAnsi="Verdana"/>
          <w:bCs/>
          <w:sz w:val="22"/>
          <w:szCs w:val="22"/>
        </w:rPr>
        <w:t xml:space="preserve"> y </w:t>
      </w:r>
      <w:r w:rsidR="00024171" w:rsidRPr="00052450">
        <w:rPr>
          <w:rFonts w:ascii="Verdana" w:hAnsi="Verdana"/>
          <w:bCs/>
          <w:sz w:val="22"/>
          <w:szCs w:val="22"/>
        </w:rPr>
        <w:t>TERMOEMCALI</w:t>
      </w:r>
      <w:r>
        <w:rPr>
          <w:rFonts w:ascii="Verdana" w:hAnsi="Verdana"/>
          <w:bCs/>
          <w:sz w:val="22"/>
          <w:szCs w:val="22"/>
        </w:rPr>
        <w:t>, lo anterior teniendo en cuenta la actual situación de la subárea Valle, y la esperada por el incremento de la capacidad de generación y las reconfiguraciones topológicas en algunas subestaciones del STN y STR. Se debe tener en cuenta que la propuesta limitaría la generación de las referenciadas plantas para evitar congestión en la red ante continencias sencillas y máximo despacho en la subárea</w:t>
      </w:r>
      <w:r w:rsidR="001B6888">
        <w:rPr>
          <w:rFonts w:ascii="Verdana" w:hAnsi="Verdana"/>
          <w:bCs/>
          <w:sz w:val="22"/>
          <w:szCs w:val="22"/>
        </w:rPr>
        <w:t>, y que dicho Esquema podría requerir un Acuerdo del Consejo</w:t>
      </w:r>
      <w:r w:rsidR="00251A8B">
        <w:rPr>
          <w:rFonts w:ascii="Verdana" w:hAnsi="Verdana"/>
          <w:bCs/>
          <w:sz w:val="22"/>
          <w:szCs w:val="22"/>
        </w:rPr>
        <w:t>,</w:t>
      </w:r>
      <w:r w:rsidR="001B6888">
        <w:rPr>
          <w:rFonts w:ascii="Verdana" w:hAnsi="Verdana"/>
          <w:bCs/>
          <w:sz w:val="22"/>
          <w:szCs w:val="22"/>
        </w:rPr>
        <w:t xml:space="preserve"> si se considera del tipo sistémico.</w:t>
      </w:r>
    </w:p>
    <w:p w14:paraId="0130D9DA" w14:textId="77777777" w:rsidR="00052450" w:rsidRPr="00024171" w:rsidRDefault="00052450" w:rsidP="00024171">
      <w:pPr>
        <w:pStyle w:val="Prrafodelista"/>
        <w:rPr>
          <w:rFonts w:ascii="Verdana" w:hAnsi="Verdana"/>
          <w:bCs/>
          <w:sz w:val="22"/>
          <w:szCs w:val="22"/>
        </w:rPr>
      </w:pPr>
    </w:p>
    <w:p w14:paraId="586CEC43" w14:textId="6895F400" w:rsidR="00052450" w:rsidRDefault="001B6888" w:rsidP="001B6888">
      <w:pPr>
        <w:pStyle w:val="Prrafodelista"/>
        <w:numPr>
          <w:ilvl w:val="0"/>
          <w:numId w:val="17"/>
        </w:numPr>
        <w:jc w:val="both"/>
        <w:rPr>
          <w:rFonts w:ascii="Verdana" w:hAnsi="Verdana"/>
          <w:bCs/>
          <w:sz w:val="22"/>
          <w:szCs w:val="22"/>
        </w:rPr>
      </w:pPr>
      <w:r>
        <w:rPr>
          <w:rFonts w:ascii="Verdana" w:hAnsi="Verdana"/>
          <w:bCs/>
          <w:sz w:val="22"/>
          <w:szCs w:val="22"/>
        </w:rPr>
        <w:t>ELECTRICARIBE presentó en el Subcomité de Análisis y Planeación Eléctrica-SAPE, la revaluación de algunas capacidades de transporte en estado normal y de emergencia en varios enlaces del STR en la subárea Córdoba-Sucre</w:t>
      </w:r>
      <w:r w:rsidR="00052450" w:rsidRPr="00052450">
        <w:rPr>
          <w:rFonts w:ascii="Verdana" w:hAnsi="Verdana"/>
          <w:bCs/>
          <w:sz w:val="22"/>
          <w:szCs w:val="22"/>
        </w:rPr>
        <w:t>.</w:t>
      </w:r>
      <w:r>
        <w:rPr>
          <w:rFonts w:ascii="Verdana" w:hAnsi="Verdana"/>
          <w:bCs/>
          <w:sz w:val="22"/>
          <w:szCs w:val="22"/>
        </w:rPr>
        <w:t xml:space="preserve"> Lo anterior es muy positivo, ya que para esta fracción del Sistema ya no se materializaría, en el corto plazo y bajo condiciones normales de operación, Demanda No Atendida-DNA no programada. El Consejo recomendó al Operador de Red revaluar la evolución esperada de la DNA para el corto plazo con esta acción y replicar el ejercicio para las subáreas Bolívar, GCM y Atlántico. </w:t>
      </w:r>
    </w:p>
    <w:p w14:paraId="39584B77" w14:textId="77777777" w:rsidR="001B6888" w:rsidRPr="00024171" w:rsidRDefault="001B6888" w:rsidP="00024171">
      <w:pPr>
        <w:pStyle w:val="Prrafodelista"/>
        <w:rPr>
          <w:rFonts w:ascii="Verdana" w:hAnsi="Verdana"/>
          <w:bCs/>
          <w:sz w:val="22"/>
          <w:szCs w:val="22"/>
        </w:rPr>
      </w:pPr>
    </w:p>
    <w:p w14:paraId="68B382EA" w14:textId="4D48787D" w:rsidR="00275415" w:rsidRDefault="00275415" w:rsidP="00024171">
      <w:pPr>
        <w:pStyle w:val="Prrafodelista"/>
        <w:numPr>
          <w:ilvl w:val="0"/>
          <w:numId w:val="17"/>
        </w:numPr>
        <w:jc w:val="both"/>
        <w:rPr>
          <w:rFonts w:ascii="Verdana" w:hAnsi="Verdana"/>
          <w:bCs/>
          <w:sz w:val="22"/>
          <w:szCs w:val="22"/>
        </w:rPr>
      </w:pPr>
      <w:r>
        <w:rPr>
          <w:rFonts w:ascii="Verdana" w:hAnsi="Verdana"/>
          <w:bCs/>
          <w:sz w:val="22"/>
          <w:szCs w:val="22"/>
        </w:rPr>
        <w:t xml:space="preserve">En el Subcomité de Análisis y Planeación Eléctrica-SAPE el CND presentó el Informe Trimestral de Restricciones. En este XM plantea una alternativa a través de dispositivos DFACTS para la subárea </w:t>
      </w:r>
      <w:r w:rsidR="00F33F97">
        <w:rPr>
          <w:rFonts w:ascii="Verdana" w:hAnsi="Verdana"/>
          <w:bCs/>
          <w:sz w:val="22"/>
          <w:szCs w:val="22"/>
        </w:rPr>
        <w:t>Atlántico</w:t>
      </w:r>
      <w:r>
        <w:rPr>
          <w:rFonts w:ascii="Verdana" w:hAnsi="Verdana"/>
          <w:bCs/>
          <w:sz w:val="22"/>
          <w:szCs w:val="22"/>
        </w:rPr>
        <w:t xml:space="preserve">, que tendría un desempeño técnico similar a la opción SAEB, pero a un costo </w:t>
      </w:r>
      <w:r w:rsidR="00F33F97">
        <w:rPr>
          <w:rFonts w:ascii="Verdana" w:hAnsi="Verdana"/>
          <w:bCs/>
          <w:sz w:val="22"/>
          <w:szCs w:val="22"/>
        </w:rPr>
        <w:t>menor</w:t>
      </w:r>
      <w:r>
        <w:rPr>
          <w:rFonts w:ascii="Verdana" w:hAnsi="Verdana"/>
          <w:bCs/>
          <w:sz w:val="22"/>
          <w:szCs w:val="22"/>
        </w:rPr>
        <w:t>.</w:t>
      </w:r>
      <w:r w:rsidR="00F33F97">
        <w:rPr>
          <w:rFonts w:ascii="Verdana" w:hAnsi="Verdana"/>
          <w:bCs/>
          <w:sz w:val="22"/>
          <w:szCs w:val="22"/>
        </w:rPr>
        <w:t xml:space="preserve"> Teniendo en cuenta estos resultados, se sugiere al CND interactuar con la UPME en el marco del CAPT para determinar </w:t>
      </w:r>
      <w:r w:rsidR="00024171">
        <w:rPr>
          <w:rFonts w:ascii="Verdana" w:hAnsi="Verdana"/>
          <w:bCs/>
          <w:sz w:val="22"/>
          <w:szCs w:val="22"/>
        </w:rPr>
        <w:t>cuál</w:t>
      </w:r>
      <w:r w:rsidR="00F33F97">
        <w:rPr>
          <w:rFonts w:ascii="Verdana" w:hAnsi="Verdana"/>
          <w:bCs/>
          <w:sz w:val="22"/>
          <w:szCs w:val="22"/>
        </w:rPr>
        <w:t xml:space="preserve"> es la mejor alternativa tecnológica de corto plazo, validando las bondades de los FACTS distribuidos. </w:t>
      </w:r>
      <w:r>
        <w:rPr>
          <w:rFonts w:ascii="Verdana" w:hAnsi="Verdana"/>
          <w:bCs/>
          <w:sz w:val="22"/>
          <w:szCs w:val="22"/>
        </w:rPr>
        <w:t xml:space="preserve">   </w:t>
      </w:r>
    </w:p>
    <w:p w14:paraId="6B9DEE73" w14:textId="77777777" w:rsidR="00052450" w:rsidRPr="00024171" w:rsidRDefault="00052450" w:rsidP="00024171">
      <w:pPr>
        <w:pStyle w:val="Prrafodelista"/>
        <w:rPr>
          <w:rFonts w:ascii="Verdana" w:hAnsi="Verdana"/>
          <w:bCs/>
          <w:sz w:val="22"/>
          <w:szCs w:val="22"/>
        </w:rPr>
      </w:pPr>
    </w:p>
    <w:p w14:paraId="04F5FAAA" w14:textId="7ED23D9A" w:rsidR="00052450" w:rsidRDefault="00F33F97" w:rsidP="00024171">
      <w:pPr>
        <w:pStyle w:val="Prrafodelista"/>
        <w:numPr>
          <w:ilvl w:val="0"/>
          <w:numId w:val="17"/>
        </w:numPr>
        <w:jc w:val="both"/>
        <w:rPr>
          <w:rFonts w:ascii="Verdana" w:hAnsi="Verdana"/>
          <w:bCs/>
          <w:sz w:val="22"/>
          <w:szCs w:val="22"/>
        </w:rPr>
      </w:pPr>
      <w:r>
        <w:rPr>
          <w:rFonts w:ascii="Verdana" w:hAnsi="Verdana"/>
          <w:bCs/>
          <w:sz w:val="22"/>
          <w:szCs w:val="22"/>
        </w:rPr>
        <w:t xml:space="preserve">La CREG envió nuevamente comentarios a los productos CNO asignados en el marco de la Resolución CREG 030 de 2018, es decir, los lineamientos para la elaboración de los estudios de conexión simplificados, las pruebas requeridas previas a la conexión de la generación distribuida y la autogeneración con capacidad menor a 5 MW, y el borrador de la actualización del Acuerdo 1071.  En este momento el Comité de Distribución y el </w:t>
      </w:r>
      <w:r w:rsidR="00024171">
        <w:rPr>
          <w:rFonts w:ascii="Verdana" w:hAnsi="Verdana"/>
          <w:bCs/>
          <w:sz w:val="22"/>
          <w:szCs w:val="22"/>
        </w:rPr>
        <w:t>S</w:t>
      </w:r>
      <w:r>
        <w:rPr>
          <w:rFonts w:ascii="Verdana" w:hAnsi="Verdana"/>
          <w:bCs/>
          <w:sz w:val="22"/>
          <w:szCs w:val="22"/>
        </w:rPr>
        <w:t>ubcomité de Protecciones están analizando los comentarios correspondientes.</w:t>
      </w:r>
    </w:p>
    <w:p w14:paraId="14698D27" w14:textId="77777777" w:rsidR="00052450" w:rsidRPr="00024171" w:rsidRDefault="00052450" w:rsidP="00024171">
      <w:pPr>
        <w:pStyle w:val="Prrafodelista"/>
        <w:rPr>
          <w:rFonts w:ascii="Verdana" w:hAnsi="Verdana"/>
          <w:bCs/>
          <w:sz w:val="22"/>
          <w:szCs w:val="22"/>
        </w:rPr>
      </w:pPr>
    </w:p>
    <w:p w14:paraId="31A3FF13" w14:textId="62922B3D" w:rsidR="00E704EC" w:rsidRPr="00024171" w:rsidRDefault="00F33F97" w:rsidP="00024171">
      <w:pPr>
        <w:pStyle w:val="Prrafodelista"/>
        <w:numPr>
          <w:ilvl w:val="0"/>
          <w:numId w:val="17"/>
        </w:numPr>
        <w:jc w:val="both"/>
        <w:rPr>
          <w:rFonts w:ascii="Verdana" w:hAnsi="Verdana"/>
          <w:bCs/>
          <w:sz w:val="22"/>
          <w:szCs w:val="22"/>
        </w:rPr>
      </w:pPr>
      <w:r w:rsidRPr="00323968">
        <w:rPr>
          <w:rFonts w:ascii="Verdana" w:hAnsi="Verdana"/>
          <w:bCs/>
          <w:sz w:val="22"/>
          <w:szCs w:val="22"/>
        </w:rPr>
        <w:t>En el marco del Comité de Operación</w:t>
      </w:r>
      <w:r w:rsidR="00323968" w:rsidRPr="00323968">
        <w:rPr>
          <w:rFonts w:ascii="Verdana" w:hAnsi="Verdana"/>
          <w:bCs/>
          <w:sz w:val="22"/>
          <w:szCs w:val="22"/>
        </w:rPr>
        <w:t>,</w:t>
      </w:r>
      <w:r w:rsidR="00052450" w:rsidRPr="00323968">
        <w:rPr>
          <w:rFonts w:ascii="Verdana" w:hAnsi="Verdana"/>
          <w:bCs/>
          <w:sz w:val="22"/>
          <w:szCs w:val="22"/>
        </w:rPr>
        <w:t xml:space="preserve"> ENERCON</w:t>
      </w:r>
      <w:r w:rsidRPr="00323968">
        <w:rPr>
          <w:rFonts w:ascii="Verdana" w:hAnsi="Verdana"/>
          <w:bCs/>
          <w:sz w:val="22"/>
          <w:szCs w:val="22"/>
        </w:rPr>
        <w:t>, firma alemana</w:t>
      </w:r>
      <w:r w:rsidR="00323968" w:rsidRPr="00323968">
        <w:rPr>
          <w:rFonts w:ascii="Verdana" w:hAnsi="Verdana"/>
          <w:bCs/>
          <w:sz w:val="22"/>
          <w:szCs w:val="22"/>
        </w:rPr>
        <w:t xml:space="preserve"> proveedora de aerogeneradores tipo IV, hizo una presentación sobre los requerimientos exigidos en la Resolución CREG 060 de 2019 para la conexión de plantas eólicas y solares fotovoltaicas en el STN y STR. Se pudo </w:t>
      </w:r>
      <w:r w:rsidR="00323968" w:rsidRPr="00323968">
        <w:rPr>
          <w:rFonts w:ascii="Verdana" w:hAnsi="Verdana"/>
          <w:bCs/>
          <w:sz w:val="22"/>
          <w:szCs w:val="22"/>
        </w:rPr>
        <w:lastRenderedPageBreak/>
        <w:t xml:space="preserve">constatar que esta tecnología cumple a cabalidad todas condiciones exigidas en dicha Resolución. </w:t>
      </w:r>
      <w:r w:rsidR="00323968" w:rsidRPr="00024171">
        <w:rPr>
          <w:rFonts w:ascii="Verdana" w:hAnsi="Verdana"/>
          <w:bCs/>
          <w:sz w:val="22"/>
          <w:szCs w:val="22"/>
        </w:rPr>
        <w:t>La presentación puede ser consultada en la página web del Consejo.</w:t>
      </w:r>
    </w:p>
    <w:p w14:paraId="3EEE31DE" w14:textId="52FBECE9" w:rsidR="00E704EC" w:rsidRPr="00052450" w:rsidRDefault="00E704EC">
      <w:pPr>
        <w:jc w:val="both"/>
        <w:rPr>
          <w:rFonts w:ascii="Verdana" w:hAnsi="Verdana"/>
          <w:bCs/>
          <w:sz w:val="22"/>
          <w:szCs w:val="22"/>
        </w:rPr>
      </w:pPr>
      <w:bookmarkStart w:id="0" w:name="_GoBack"/>
      <w:bookmarkEnd w:id="0"/>
    </w:p>
    <w:p w14:paraId="135F740F" w14:textId="1C91AB63" w:rsidR="00E57880" w:rsidRPr="00052450" w:rsidRDefault="00E57880">
      <w:pPr>
        <w:jc w:val="center"/>
        <w:rPr>
          <w:rFonts w:ascii="Verdana" w:hAnsi="Verdana"/>
          <w:bCs/>
          <w:sz w:val="22"/>
          <w:szCs w:val="22"/>
        </w:rPr>
      </w:pPr>
      <w:r w:rsidRPr="00052450">
        <w:rPr>
          <w:rFonts w:ascii="Verdana" w:hAnsi="Verdana"/>
          <w:bCs/>
          <w:sz w:val="22"/>
          <w:szCs w:val="22"/>
        </w:rPr>
        <w:t>ANEXO</w:t>
      </w:r>
    </w:p>
    <w:p w14:paraId="64FA72EB" w14:textId="7717962E" w:rsidR="00E57880" w:rsidRPr="00052450" w:rsidRDefault="00E57880" w:rsidP="00024171">
      <w:pPr>
        <w:jc w:val="both"/>
        <w:rPr>
          <w:rFonts w:ascii="Verdana" w:hAnsi="Verdana"/>
          <w:bCs/>
          <w:sz w:val="22"/>
          <w:szCs w:val="22"/>
        </w:rPr>
      </w:pPr>
    </w:p>
    <w:p w14:paraId="5EE969BB" w14:textId="12380BCB" w:rsidR="00E57880" w:rsidRPr="00024171" w:rsidRDefault="00E57880" w:rsidP="00024171">
      <w:pPr>
        <w:jc w:val="center"/>
        <w:rPr>
          <w:rFonts w:ascii="Verdana" w:hAnsi="Verdana"/>
          <w:bCs/>
          <w:sz w:val="22"/>
          <w:szCs w:val="22"/>
        </w:rPr>
      </w:pPr>
      <w:r w:rsidRPr="00024171">
        <w:rPr>
          <w:rFonts w:ascii="Verdana" w:hAnsi="Verdana"/>
          <w:bCs/>
          <w:noProof/>
          <w:sz w:val="22"/>
          <w:szCs w:val="22"/>
        </w:rPr>
        <w:drawing>
          <wp:inline distT="0" distB="0" distL="0" distR="0" wp14:anchorId="0B293754" wp14:editId="6BD571CD">
            <wp:extent cx="5100240" cy="2923200"/>
            <wp:effectExtent l="0" t="0" r="5715" b="0"/>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0201" cy="2934641"/>
                    </a:xfrm>
                    <a:prstGeom prst="rect">
                      <a:avLst/>
                    </a:prstGeom>
                  </pic:spPr>
                </pic:pic>
              </a:graphicData>
            </a:graphic>
          </wp:inline>
        </w:drawing>
      </w:r>
    </w:p>
    <w:p w14:paraId="5F6EB50E" w14:textId="77777777" w:rsidR="009B29ED" w:rsidRPr="009B29ED" w:rsidRDefault="009B29ED" w:rsidP="00024171">
      <w:pPr>
        <w:pStyle w:val="Prrafodelista"/>
        <w:jc w:val="both"/>
        <w:rPr>
          <w:rFonts w:ascii="Verdana" w:hAnsi="Verdana"/>
          <w:bCs/>
          <w:sz w:val="22"/>
          <w:szCs w:val="22"/>
        </w:rPr>
      </w:pPr>
    </w:p>
    <w:p w14:paraId="0685B97F" w14:textId="28CF4DE6" w:rsidR="00223CA5" w:rsidRPr="009B29ED" w:rsidRDefault="00223CA5">
      <w:pPr>
        <w:jc w:val="both"/>
      </w:pPr>
    </w:p>
    <w:p w14:paraId="75D4FEC0" w14:textId="77777777" w:rsidR="009B29ED" w:rsidRDefault="009B29ED" w:rsidP="00024171">
      <w:pPr>
        <w:pStyle w:val="Prrafodelista"/>
        <w:jc w:val="both"/>
      </w:pPr>
    </w:p>
    <w:p w14:paraId="01C175E8" w14:textId="77777777" w:rsidR="009B29ED" w:rsidRPr="00286A3A" w:rsidRDefault="009B29ED">
      <w:pPr>
        <w:jc w:val="both"/>
      </w:pPr>
    </w:p>
    <w:p w14:paraId="0DE2DBF0" w14:textId="77777777" w:rsidR="00FE3017" w:rsidRDefault="00FE3017">
      <w:pPr>
        <w:pStyle w:val="Prrafodelista"/>
        <w:ind w:left="360"/>
        <w:jc w:val="both"/>
        <w:rPr>
          <w:rFonts w:ascii="Verdana" w:hAnsi="Verdana"/>
          <w:bCs/>
          <w:sz w:val="22"/>
          <w:szCs w:val="22"/>
        </w:rPr>
      </w:pPr>
    </w:p>
    <w:p w14:paraId="3C972572" w14:textId="77777777" w:rsidR="00FE3017" w:rsidRPr="00FE3017" w:rsidRDefault="00FE3017" w:rsidP="00024171">
      <w:pPr>
        <w:pStyle w:val="Prrafodelista"/>
        <w:jc w:val="both"/>
        <w:rPr>
          <w:rFonts w:ascii="Verdana" w:hAnsi="Verdana"/>
          <w:bCs/>
          <w:sz w:val="22"/>
          <w:szCs w:val="22"/>
        </w:rPr>
      </w:pPr>
    </w:p>
    <w:p w14:paraId="5136C101" w14:textId="77777777" w:rsidR="00FE3017" w:rsidRPr="00424C05" w:rsidRDefault="00FE3017">
      <w:pPr>
        <w:pStyle w:val="Prrafodelista"/>
        <w:ind w:left="360"/>
        <w:jc w:val="both"/>
        <w:rPr>
          <w:rFonts w:ascii="Verdana" w:hAnsi="Verdana"/>
          <w:bCs/>
          <w:sz w:val="22"/>
          <w:szCs w:val="22"/>
        </w:rPr>
      </w:pPr>
    </w:p>
    <w:sectPr w:rsidR="00FE3017" w:rsidRPr="00424C05">
      <w:headerReference w:type="default" r:id="rId9"/>
      <w:footerReference w:type="default" r:id="rId10"/>
      <w:pgSz w:w="12242" w:h="15842"/>
      <w:pgMar w:top="851"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9AB15" w14:textId="77777777" w:rsidR="002C23F3" w:rsidRDefault="002C23F3">
      <w:r>
        <w:separator/>
      </w:r>
    </w:p>
  </w:endnote>
  <w:endnote w:type="continuationSeparator" w:id="0">
    <w:p w14:paraId="55584BA2" w14:textId="77777777" w:rsidR="002C23F3" w:rsidRDefault="002C2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ncizar Sans 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8A66" w14:textId="6E60B98D" w:rsidR="000D0FE5" w:rsidRPr="008F3C55" w:rsidRDefault="000D0FE5">
    <w:pPr>
      <w:pStyle w:val="Piedepgina"/>
      <w:rPr>
        <w:rFonts w:ascii="Verdana" w:hAnsi="Verdana"/>
        <w:sz w:val="22"/>
        <w:szCs w:val="22"/>
      </w:rPr>
    </w:pPr>
    <w:r w:rsidRPr="008F3C55">
      <w:rPr>
        <w:rFonts w:ascii="Verdana" w:hAnsi="Verdana"/>
        <w:sz w:val="22"/>
        <w:szCs w:val="22"/>
      </w:rPr>
      <w:t>Informe Secretario Técnico 5</w:t>
    </w:r>
    <w:r>
      <w:rPr>
        <w:rFonts w:ascii="Verdana" w:hAnsi="Verdana"/>
        <w:sz w:val="22"/>
        <w:szCs w:val="22"/>
      </w:rPr>
      <w:t>77</w:t>
    </w:r>
  </w:p>
  <w:p w14:paraId="34876705" w14:textId="543589FD" w:rsidR="000D0FE5" w:rsidRDefault="000D0FE5">
    <w:pPr>
      <w:pBdr>
        <w:top w:val="nil"/>
        <w:left w:val="nil"/>
        <w:bottom w:val="nil"/>
        <w:right w:val="nil"/>
        <w:between w:val="nil"/>
      </w:pBdr>
      <w:tabs>
        <w:tab w:val="center" w:pos="4252"/>
        <w:tab w:val="right" w:pos="8504"/>
      </w:tabs>
      <w:rPr>
        <w:rFonts w:ascii="Verdana" w:eastAsia="Verdana" w:hAnsi="Verdana" w:cs="Verdana"/>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34573" w14:textId="77777777" w:rsidR="002C23F3" w:rsidRDefault="002C23F3">
      <w:r>
        <w:separator/>
      </w:r>
    </w:p>
  </w:footnote>
  <w:footnote w:type="continuationSeparator" w:id="0">
    <w:p w14:paraId="5A9E63E3" w14:textId="77777777" w:rsidR="002C23F3" w:rsidRDefault="002C2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4407" w14:textId="77777777" w:rsidR="000D0FE5" w:rsidRDefault="000D0FE5">
    <w:pPr>
      <w:pBdr>
        <w:top w:val="nil"/>
        <w:left w:val="nil"/>
        <w:bottom w:val="nil"/>
        <w:right w:val="nil"/>
        <w:between w:val="nil"/>
      </w:pBdr>
      <w:tabs>
        <w:tab w:val="center" w:pos="4419"/>
        <w:tab w:val="left" w:pos="7180"/>
      </w:tabs>
      <w:rPr>
        <w:b/>
        <w:color w:val="000000"/>
        <w:sz w:val="40"/>
        <w:szCs w:val="40"/>
      </w:rPr>
    </w:pPr>
  </w:p>
  <w:p w14:paraId="35C99D28" w14:textId="77777777" w:rsidR="000D0FE5" w:rsidRDefault="000D0FE5">
    <w:pPr>
      <w:pBdr>
        <w:top w:val="nil"/>
        <w:left w:val="nil"/>
        <w:bottom w:val="nil"/>
        <w:right w:val="nil"/>
        <w:between w:val="nil"/>
      </w:pBdr>
      <w:tabs>
        <w:tab w:val="center" w:pos="4419"/>
        <w:tab w:val="left" w:pos="7180"/>
      </w:tabs>
      <w:rPr>
        <w:b/>
        <w:color w:val="000000"/>
        <w:sz w:val="40"/>
        <w:szCs w:val="40"/>
      </w:rPr>
    </w:pPr>
    <w:r>
      <w:rPr>
        <w:b/>
        <w:color w:val="000000"/>
        <w:sz w:val="40"/>
        <w:szCs w:val="40"/>
      </w:rPr>
      <w:tab/>
    </w:r>
    <w:r>
      <w:rPr>
        <w:b/>
        <w:color w:val="000000"/>
        <w:sz w:val="40"/>
        <w:szCs w:val="40"/>
      </w:rPr>
      <w:tab/>
    </w:r>
    <w:r>
      <w:rPr>
        <w:noProof/>
      </w:rPr>
      <w:drawing>
        <wp:anchor distT="0" distB="0" distL="114300" distR="114300" simplePos="0" relativeHeight="251658240" behindDoc="0" locked="0" layoutInCell="1" hidden="0" allowOverlap="1" wp14:anchorId="3F22EB6C" wp14:editId="39AE63E1">
          <wp:simplePos x="0" y="0"/>
          <wp:positionH relativeFrom="column">
            <wp:posOffset>2011679</wp:posOffset>
          </wp:positionH>
          <wp:positionV relativeFrom="paragraph">
            <wp:posOffset>-445134</wp:posOffset>
          </wp:positionV>
          <wp:extent cx="1827530" cy="695325"/>
          <wp:effectExtent l="0" t="0" r="0" b="0"/>
          <wp:wrapSquare wrapText="bothSides" distT="0" distB="0" distL="114300" distR="114300"/>
          <wp:docPr id="5" name="image1.png" descr="cid:image002.jpg@01D3D593.164EAD00"/>
          <wp:cNvGraphicFramePr/>
          <a:graphic xmlns:a="http://schemas.openxmlformats.org/drawingml/2006/main">
            <a:graphicData uri="http://schemas.openxmlformats.org/drawingml/2006/picture">
              <pic:pic xmlns:pic="http://schemas.openxmlformats.org/drawingml/2006/picture">
                <pic:nvPicPr>
                  <pic:cNvPr id="0" name="image1.png" descr="cid:image002.jpg@01D3D593.164EAD00"/>
                  <pic:cNvPicPr preferRelativeResize="0"/>
                </pic:nvPicPr>
                <pic:blipFill>
                  <a:blip r:embed="rId1"/>
                  <a:srcRect/>
                  <a:stretch>
                    <a:fillRect/>
                  </a:stretch>
                </pic:blipFill>
                <pic:spPr>
                  <a:xfrm>
                    <a:off x="0" y="0"/>
                    <a:ext cx="1827530"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0B2D"/>
    <w:multiLevelType w:val="hybridMultilevel"/>
    <w:tmpl w:val="DC180C0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2953CD"/>
    <w:multiLevelType w:val="hybridMultilevel"/>
    <w:tmpl w:val="3398B3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C74B52"/>
    <w:multiLevelType w:val="hybridMultilevel"/>
    <w:tmpl w:val="992A5A1C"/>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0FC36F0"/>
    <w:multiLevelType w:val="hybridMultilevel"/>
    <w:tmpl w:val="81CE3D74"/>
    <w:lvl w:ilvl="0" w:tplc="B8A65B2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94A6A03"/>
    <w:multiLevelType w:val="hybridMultilevel"/>
    <w:tmpl w:val="90745D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8E7E3E"/>
    <w:multiLevelType w:val="hybridMultilevel"/>
    <w:tmpl w:val="D16218AA"/>
    <w:lvl w:ilvl="0" w:tplc="2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B1E0E9E"/>
    <w:multiLevelType w:val="hybridMultilevel"/>
    <w:tmpl w:val="51DCFEF8"/>
    <w:lvl w:ilvl="0" w:tplc="47920EF0">
      <w:start w:val="14"/>
      <w:numFmt w:val="bullet"/>
      <w:lvlText w:val="-"/>
      <w:lvlJc w:val="left"/>
      <w:pPr>
        <w:ind w:left="720" w:hanging="360"/>
      </w:pPr>
      <w:rPr>
        <w:rFonts w:ascii="Verdana" w:eastAsia="Verdana" w:hAnsi="Verdana" w:cs="Verdan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BB35078"/>
    <w:multiLevelType w:val="hybridMultilevel"/>
    <w:tmpl w:val="9E62B1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0B47C9"/>
    <w:multiLevelType w:val="hybridMultilevel"/>
    <w:tmpl w:val="4D342F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DA94038"/>
    <w:multiLevelType w:val="hybridMultilevel"/>
    <w:tmpl w:val="CCBCCE9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3E853D13"/>
    <w:multiLevelType w:val="hybridMultilevel"/>
    <w:tmpl w:val="7ACC7C8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120FF5"/>
    <w:multiLevelType w:val="hybridMultilevel"/>
    <w:tmpl w:val="C51C65C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281233E"/>
    <w:multiLevelType w:val="hybridMultilevel"/>
    <w:tmpl w:val="71E4A7C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462F4353"/>
    <w:multiLevelType w:val="hybridMultilevel"/>
    <w:tmpl w:val="FD681EB0"/>
    <w:lvl w:ilvl="0" w:tplc="8EE69300">
      <w:start w:val="1"/>
      <w:numFmt w:val="bullet"/>
      <w:lvlText w:val=""/>
      <w:lvlJc w:val="left"/>
      <w:pPr>
        <w:tabs>
          <w:tab w:val="num" w:pos="720"/>
        </w:tabs>
        <w:ind w:left="720" w:hanging="360"/>
      </w:pPr>
      <w:rPr>
        <w:rFonts w:ascii="Wingdings" w:hAnsi="Wingdings" w:hint="default"/>
      </w:rPr>
    </w:lvl>
    <w:lvl w:ilvl="1" w:tplc="D892EA8C" w:tentative="1">
      <w:start w:val="1"/>
      <w:numFmt w:val="bullet"/>
      <w:lvlText w:val=""/>
      <w:lvlJc w:val="left"/>
      <w:pPr>
        <w:tabs>
          <w:tab w:val="num" w:pos="1440"/>
        </w:tabs>
        <w:ind w:left="1440" w:hanging="360"/>
      </w:pPr>
      <w:rPr>
        <w:rFonts w:ascii="Wingdings" w:hAnsi="Wingdings" w:hint="default"/>
      </w:rPr>
    </w:lvl>
    <w:lvl w:ilvl="2" w:tplc="A85AF0A2" w:tentative="1">
      <w:start w:val="1"/>
      <w:numFmt w:val="bullet"/>
      <w:lvlText w:val=""/>
      <w:lvlJc w:val="left"/>
      <w:pPr>
        <w:tabs>
          <w:tab w:val="num" w:pos="2160"/>
        </w:tabs>
        <w:ind w:left="2160" w:hanging="360"/>
      </w:pPr>
      <w:rPr>
        <w:rFonts w:ascii="Wingdings" w:hAnsi="Wingdings" w:hint="default"/>
      </w:rPr>
    </w:lvl>
    <w:lvl w:ilvl="3" w:tplc="276CB88A" w:tentative="1">
      <w:start w:val="1"/>
      <w:numFmt w:val="bullet"/>
      <w:lvlText w:val=""/>
      <w:lvlJc w:val="left"/>
      <w:pPr>
        <w:tabs>
          <w:tab w:val="num" w:pos="2880"/>
        </w:tabs>
        <w:ind w:left="2880" w:hanging="360"/>
      </w:pPr>
      <w:rPr>
        <w:rFonts w:ascii="Wingdings" w:hAnsi="Wingdings" w:hint="default"/>
      </w:rPr>
    </w:lvl>
    <w:lvl w:ilvl="4" w:tplc="130884D0" w:tentative="1">
      <w:start w:val="1"/>
      <w:numFmt w:val="bullet"/>
      <w:lvlText w:val=""/>
      <w:lvlJc w:val="left"/>
      <w:pPr>
        <w:tabs>
          <w:tab w:val="num" w:pos="3600"/>
        </w:tabs>
        <w:ind w:left="3600" w:hanging="360"/>
      </w:pPr>
      <w:rPr>
        <w:rFonts w:ascii="Wingdings" w:hAnsi="Wingdings" w:hint="default"/>
      </w:rPr>
    </w:lvl>
    <w:lvl w:ilvl="5" w:tplc="B4F0EEAA" w:tentative="1">
      <w:start w:val="1"/>
      <w:numFmt w:val="bullet"/>
      <w:lvlText w:val=""/>
      <w:lvlJc w:val="left"/>
      <w:pPr>
        <w:tabs>
          <w:tab w:val="num" w:pos="4320"/>
        </w:tabs>
        <w:ind w:left="4320" w:hanging="360"/>
      </w:pPr>
      <w:rPr>
        <w:rFonts w:ascii="Wingdings" w:hAnsi="Wingdings" w:hint="default"/>
      </w:rPr>
    </w:lvl>
    <w:lvl w:ilvl="6" w:tplc="8F4CBE2E" w:tentative="1">
      <w:start w:val="1"/>
      <w:numFmt w:val="bullet"/>
      <w:lvlText w:val=""/>
      <w:lvlJc w:val="left"/>
      <w:pPr>
        <w:tabs>
          <w:tab w:val="num" w:pos="5040"/>
        </w:tabs>
        <w:ind w:left="5040" w:hanging="360"/>
      </w:pPr>
      <w:rPr>
        <w:rFonts w:ascii="Wingdings" w:hAnsi="Wingdings" w:hint="default"/>
      </w:rPr>
    </w:lvl>
    <w:lvl w:ilvl="7" w:tplc="9B00C736" w:tentative="1">
      <w:start w:val="1"/>
      <w:numFmt w:val="bullet"/>
      <w:lvlText w:val=""/>
      <w:lvlJc w:val="left"/>
      <w:pPr>
        <w:tabs>
          <w:tab w:val="num" w:pos="5760"/>
        </w:tabs>
        <w:ind w:left="5760" w:hanging="360"/>
      </w:pPr>
      <w:rPr>
        <w:rFonts w:ascii="Wingdings" w:hAnsi="Wingdings" w:hint="default"/>
      </w:rPr>
    </w:lvl>
    <w:lvl w:ilvl="8" w:tplc="F38873E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DF1F17"/>
    <w:multiLevelType w:val="hybridMultilevel"/>
    <w:tmpl w:val="9234431E"/>
    <w:lvl w:ilvl="0" w:tplc="6AD84D24">
      <w:start w:val="1"/>
      <w:numFmt w:val="decimal"/>
      <w:lvlText w:val="%1."/>
      <w:lvlJc w:val="left"/>
      <w:pPr>
        <w:ind w:left="360" w:hanging="360"/>
      </w:pPr>
      <w:rPr>
        <w:sz w:val="22"/>
        <w:szCs w:val="22"/>
      </w:rPr>
    </w:lvl>
    <w:lvl w:ilvl="1" w:tplc="23D64D92">
      <w:start w:val="1"/>
      <w:numFmt w:val="lowerLetter"/>
      <w:lvlText w:val="%2."/>
      <w:lvlJc w:val="left"/>
      <w:pPr>
        <w:ind w:left="1080" w:hanging="360"/>
      </w:pPr>
      <w:rPr>
        <w:rFonts w:ascii="Verdana" w:hAnsi="Verdana" w:hint="default"/>
        <w:sz w:val="22"/>
        <w:szCs w:val="22"/>
      </w:r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4A1542CA"/>
    <w:multiLevelType w:val="hybridMultilevel"/>
    <w:tmpl w:val="1316A7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BAA1033"/>
    <w:multiLevelType w:val="hybridMultilevel"/>
    <w:tmpl w:val="6898E7B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BED0BD5"/>
    <w:multiLevelType w:val="multilevel"/>
    <w:tmpl w:val="5516AA44"/>
    <w:lvl w:ilvl="0">
      <w:start w:val="1"/>
      <w:numFmt w:val="decimal"/>
      <w:pStyle w:val="Nivel1"/>
      <w:lvlText w:val="%1."/>
      <w:lvlJc w:val="left"/>
      <w:pPr>
        <w:ind w:left="360" w:hanging="360"/>
      </w:pPr>
      <w:rPr>
        <w:sz w:val="20"/>
        <w:szCs w:val="20"/>
      </w:rPr>
    </w:lvl>
    <w:lvl w:ilvl="1">
      <w:start w:val="1"/>
      <w:numFmt w:val="lowerLetter"/>
      <w:pStyle w:val="Nivel2"/>
      <w:lvlText w:val="%2."/>
      <w:lvlJc w:val="left"/>
      <w:pPr>
        <w:ind w:left="1080" w:hanging="360"/>
      </w:pPr>
    </w:lvl>
    <w:lvl w:ilvl="2">
      <w:start w:val="1"/>
      <w:numFmt w:val="lowerRoman"/>
      <w:pStyle w:val="Nivel3"/>
      <w:lvlText w:val="%3."/>
      <w:lvlJc w:val="right"/>
      <w:pPr>
        <w:ind w:left="1800" w:hanging="180"/>
      </w:pPr>
    </w:lvl>
    <w:lvl w:ilvl="3">
      <w:start w:val="1"/>
      <w:numFmt w:val="decimal"/>
      <w:pStyle w:val="Nivel4"/>
      <w:lvlText w:val="%4."/>
      <w:lvlJc w:val="left"/>
      <w:pPr>
        <w:ind w:left="2520" w:hanging="360"/>
      </w:pPr>
    </w:lvl>
    <w:lvl w:ilvl="4">
      <w:start w:val="1"/>
      <w:numFmt w:val="lowerLetter"/>
      <w:pStyle w:val="Nivel5"/>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C38563E"/>
    <w:multiLevelType w:val="multilevel"/>
    <w:tmpl w:val="9B020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691F94"/>
    <w:multiLevelType w:val="hybridMultilevel"/>
    <w:tmpl w:val="39304E3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1541DC8"/>
    <w:multiLevelType w:val="hybridMultilevel"/>
    <w:tmpl w:val="9BAEDF2E"/>
    <w:lvl w:ilvl="0" w:tplc="F92A4AF8">
      <w:start w:val="1"/>
      <w:numFmt w:val="decimal"/>
      <w:lvlText w:val="%1."/>
      <w:lvlJc w:val="left"/>
      <w:pPr>
        <w:ind w:left="360" w:hanging="360"/>
      </w:pPr>
      <w:rPr>
        <w:rFonts w:hint="default"/>
        <w:sz w:val="2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62412363"/>
    <w:multiLevelType w:val="hybridMultilevel"/>
    <w:tmpl w:val="779AEF24"/>
    <w:lvl w:ilvl="0" w:tplc="2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2" w15:restartNumberingAfterBreak="0">
    <w:nsid w:val="6374223C"/>
    <w:multiLevelType w:val="hybridMultilevel"/>
    <w:tmpl w:val="0B6207D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64F41F5E"/>
    <w:multiLevelType w:val="hybridMultilevel"/>
    <w:tmpl w:val="5ECE66F4"/>
    <w:lvl w:ilvl="0" w:tplc="37226612">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D5C3668"/>
    <w:multiLevelType w:val="hybridMultilevel"/>
    <w:tmpl w:val="D5000924"/>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71935471"/>
    <w:multiLevelType w:val="hybridMultilevel"/>
    <w:tmpl w:val="8A347032"/>
    <w:lvl w:ilvl="0" w:tplc="EA3A35DC">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2B147E7"/>
    <w:multiLevelType w:val="hybridMultilevel"/>
    <w:tmpl w:val="7C4CDC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6F250C"/>
    <w:multiLevelType w:val="hybridMultilevel"/>
    <w:tmpl w:val="FB98B5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57E2339"/>
    <w:multiLevelType w:val="hybridMultilevel"/>
    <w:tmpl w:val="F538EF2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7"/>
  </w:num>
  <w:num w:numId="2">
    <w:abstractNumId w:val="18"/>
  </w:num>
  <w:num w:numId="3">
    <w:abstractNumId w:val="27"/>
  </w:num>
  <w:num w:numId="4">
    <w:abstractNumId w:val="8"/>
  </w:num>
  <w:num w:numId="5">
    <w:abstractNumId w:val="19"/>
  </w:num>
  <w:num w:numId="6">
    <w:abstractNumId w:val="26"/>
  </w:num>
  <w:num w:numId="7">
    <w:abstractNumId w:val="3"/>
  </w:num>
  <w:num w:numId="8">
    <w:abstractNumId w:val="15"/>
  </w:num>
  <w:num w:numId="9">
    <w:abstractNumId w:val="2"/>
  </w:num>
  <w:num w:numId="10">
    <w:abstractNumId w:val="4"/>
  </w:num>
  <w:num w:numId="11">
    <w:abstractNumId w:val="11"/>
  </w:num>
  <w:num w:numId="12">
    <w:abstractNumId w:val="28"/>
  </w:num>
  <w:num w:numId="13">
    <w:abstractNumId w:val="21"/>
  </w:num>
  <w:num w:numId="14">
    <w:abstractNumId w:val="13"/>
  </w:num>
  <w:num w:numId="15">
    <w:abstractNumId w:val="23"/>
  </w:num>
  <w:num w:numId="16">
    <w:abstractNumId w:val="24"/>
  </w:num>
  <w:num w:numId="17">
    <w:abstractNumId w:val="14"/>
  </w:num>
  <w:num w:numId="18">
    <w:abstractNumId w:val="25"/>
  </w:num>
  <w:num w:numId="19">
    <w:abstractNumId w:val="5"/>
  </w:num>
  <w:num w:numId="20">
    <w:abstractNumId w:val="1"/>
  </w:num>
  <w:num w:numId="21">
    <w:abstractNumId w:val="7"/>
  </w:num>
  <w:num w:numId="22">
    <w:abstractNumId w:val="10"/>
  </w:num>
  <w:num w:numId="23">
    <w:abstractNumId w:val="0"/>
  </w:num>
  <w:num w:numId="24">
    <w:abstractNumId w:val="20"/>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6"/>
  </w:num>
  <w:num w:numId="28">
    <w:abstractNumId w:val="22"/>
  </w:num>
  <w:num w:numId="29">
    <w:abstractNumId w:val="9"/>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983"/>
    <w:rsid w:val="000015C1"/>
    <w:rsid w:val="00001D7F"/>
    <w:rsid w:val="00024171"/>
    <w:rsid w:val="000378FB"/>
    <w:rsid w:val="00051257"/>
    <w:rsid w:val="00052450"/>
    <w:rsid w:val="00076B3C"/>
    <w:rsid w:val="0008210D"/>
    <w:rsid w:val="0008226B"/>
    <w:rsid w:val="00084002"/>
    <w:rsid w:val="000A2032"/>
    <w:rsid w:val="000D0FE5"/>
    <w:rsid w:val="000D2F11"/>
    <w:rsid w:val="000F099A"/>
    <w:rsid w:val="000F403F"/>
    <w:rsid w:val="000F525F"/>
    <w:rsid w:val="000F7D73"/>
    <w:rsid w:val="001113E5"/>
    <w:rsid w:val="001116E9"/>
    <w:rsid w:val="00112C06"/>
    <w:rsid w:val="001208BF"/>
    <w:rsid w:val="001313A0"/>
    <w:rsid w:val="001375A7"/>
    <w:rsid w:val="00137792"/>
    <w:rsid w:val="0014233E"/>
    <w:rsid w:val="00142CB9"/>
    <w:rsid w:val="0014580B"/>
    <w:rsid w:val="00185CE1"/>
    <w:rsid w:val="0019552B"/>
    <w:rsid w:val="001B528C"/>
    <w:rsid w:val="001B5848"/>
    <w:rsid w:val="001B6888"/>
    <w:rsid w:val="001D1DF8"/>
    <w:rsid w:val="001E75B0"/>
    <w:rsid w:val="0020013A"/>
    <w:rsid w:val="00201D31"/>
    <w:rsid w:val="0021167D"/>
    <w:rsid w:val="00213180"/>
    <w:rsid w:val="0022132E"/>
    <w:rsid w:val="0022257E"/>
    <w:rsid w:val="00223CA5"/>
    <w:rsid w:val="0023663C"/>
    <w:rsid w:val="0025017B"/>
    <w:rsid w:val="00251A8B"/>
    <w:rsid w:val="002600C9"/>
    <w:rsid w:val="0026220B"/>
    <w:rsid w:val="00262AAF"/>
    <w:rsid w:val="00267C1D"/>
    <w:rsid w:val="002703C3"/>
    <w:rsid w:val="00275415"/>
    <w:rsid w:val="002758D8"/>
    <w:rsid w:val="00280F9A"/>
    <w:rsid w:val="00282C44"/>
    <w:rsid w:val="002906DE"/>
    <w:rsid w:val="00292DBE"/>
    <w:rsid w:val="002A4CED"/>
    <w:rsid w:val="002C23F3"/>
    <w:rsid w:val="002C4C15"/>
    <w:rsid w:val="002C66AB"/>
    <w:rsid w:val="002E67EE"/>
    <w:rsid w:val="002F6519"/>
    <w:rsid w:val="003202B4"/>
    <w:rsid w:val="00323968"/>
    <w:rsid w:val="00327EE9"/>
    <w:rsid w:val="0034727B"/>
    <w:rsid w:val="00350364"/>
    <w:rsid w:val="003561F1"/>
    <w:rsid w:val="003611EF"/>
    <w:rsid w:val="0036314B"/>
    <w:rsid w:val="00366091"/>
    <w:rsid w:val="00381BE0"/>
    <w:rsid w:val="00387DDA"/>
    <w:rsid w:val="0039082B"/>
    <w:rsid w:val="003A093D"/>
    <w:rsid w:val="003A7EEB"/>
    <w:rsid w:val="003B499D"/>
    <w:rsid w:val="003B4ED7"/>
    <w:rsid w:val="003B759E"/>
    <w:rsid w:val="003D61F5"/>
    <w:rsid w:val="003D7626"/>
    <w:rsid w:val="003E2065"/>
    <w:rsid w:val="003F28E4"/>
    <w:rsid w:val="00402555"/>
    <w:rsid w:val="0041139D"/>
    <w:rsid w:val="00412969"/>
    <w:rsid w:val="00412FC8"/>
    <w:rsid w:val="004156BC"/>
    <w:rsid w:val="00442F08"/>
    <w:rsid w:val="00462EA8"/>
    <w:rsid w:val="00466B8F"/>
    <w:rsid w:val="0046776D"/>
    <w:rsid w:val="00473DC0"/>
    <w:rsid w:val="0048478B"/>
    <w:rsid w:val="004B0855"/>
    <w:rsid w:val="004B3AB5"/>
    <w:rsid w:val="004C4342"/>
    <w:rsid w:val="004D046F"/>
    <w:rsid w:val="00500734"/>
    <w:rsid w:val="00524F3C"/>
    <w:rsid w:val="00530852"/>
    <w:rsid w:val="00530A9F"/>
    <w:rsid w:val="005452DF"/>
    <w:rsid w:val="005771B0"/>
    <w:rsid w:val="005814CA"/>
    <w:rsid w:val="005817B8"/>
    <w:rsid w:val="0058226B"/>
    <w:rsid w:val="005B53E6"/>
    <w:rsid w:val="005C379E"/>
    <w:rsid w:val="005D0B2D"/>
    <w:rsid w:val="005D48D3"/>
    <w:rsid w:val="005D7C4C"/>
    <w:rsid w:val="00605D71"/>
    <w:rsid w:val="00611156"/>
    <w:rsid w:val="006152C2"/>
    <w:rsid w:val="006308DA"/>
    <w:rsid w:val="00631932"/>
    <w:rsid w:val="00643788"/>
    <w:rsid w:val="00650D27"/>
    <w:rsid w:val="0067256F"/>
    <w:rsid w:val="00680231"/>
    <w:rsid w:val="006A41B8"/>
    <w:rsid w:val="006A69FE"/>
    <w:rsid w:val="006B580F"/>
    <w:rsid w:val="006D3835"/>
    <w:rsid w:val="006D63B8"/>
    <w:rsid w:val="006E2A9D"/>
    <w:rsid w:val="006E56A5"/>
    <w:rsid w:val="006F4547"/>
    <w:rsid w:val="00701B04"/>
    <w:rsid w:val="00711503"/>
    <w:rsid w:val="0071532A"/>
    <w:rsid w:val="00723CA5"/>
    <w:rsid w:val="00723FDC"/>
    <w:rsid w:val="00735928"/>
    <w:rsid w:val="00765481"/>
    <w:rsid w:val="00767508"/>
    <w:rsid w:val="0078188C"/>
    <w:rsid w:val="0078212B"/>
    <w:rsid w:val="007849E0"/>
    <w:rsid w:val="0078530C"/>
    <w:rsid w:val="007864B2"/>
    <w:rsid w:val="00790902"/>
    <w:rsid w:val="007A0ABB"/>
    <w:rsid w:val="007A77AF"/>
    <w:rsid w:val="007A78F9"/>
    <w:rsid w:val="007B6024"/>
    <w:rsid w:val="007C4EA0"/>
    <w:rsid w:val="007F2F35"/>
    <w:rsid w:val="0081003D"/>
    <w:rsid w:val="008175FB"/>
    <w:rsid w:val="00820C6F"/>
    <w:rsid w:val="0082756F"/>
    <w:rsid w:val="00867A24"/>
    <w:rsid w:val="008714D9"/>
    <w:rsid w:val="008C128A"/>
    <w:rsid w:val="008C6D48"/>
    <w:rsid w:val="008C7333"/>
    <w:rsid w:val="008E1DB6"/>
    <w:rsid w:val="008F3C55"/>
    <w:rsid w:val="00911F7E"/>
    <w:rsid w:val="0091312F"/>
    <w:rsid w:val="009132D1"/>
    <w:rsid w:val="009242BD"/>
    <w:rsid w:val="00962848"/>
    <w:rsid w:val="00963173"/>
    <w:rsid w:val="00964F40"/>
    <w:rsid w:val="00981638"/>
    <w:rsid w:val="00990F21"/>
    <w:rsid w:val="0099745F"/>
    <w:rsid w:val="00997849"/>
    <w:rsid w:val="009A1F17"/>
    <w:rsid w:val="009A55CA"/>
    <w:rsid w:val="009A5E50"/>
    <w:rsid w:val="009B1AB3"/>
    <w:rsid w:val="009B29ED"/>
    <w:rsid w:val="009C1EA8"/>
    <w:rsid w:val="009F0674"/>
    <w:rsid w:val="009F1A46"/>
    <w:rsid w:val="009F262D"/>
    <w:rsid w:val="009F6B24"/>
    <w:rsid w:val="00A2427B"/>
    <w:rsid w:val="00A42AF2"/>
    <w:rsid w:val="00A67727"/>
    <w:rsid w:val="00A748CA"/>
    <w:rsid w:val="00A87384"/>
    <w:rsid w:val="00AC0053"/>
    <w:rsid w:val="00AC01D9"/>
    <w:rsid w:val="00AE01B5"/>
    <w:rsid w:val="00AE2AAD"/>
    <w:rsid w:val="00AE535E"/>
    <w:rsid w:val="00AF1041"/>
    <w:rsid w:val="00B11334"/>
    <w:rsid w:val="00B34C7C"/>
    <w:rsid w:val="00B36B33"/>
    <w:rsid w:val="00B45738"/>
    <w:rsid w:val="00B45C59"/>
    <w:rsid w:val="00B5406F"/>
    <w:rsid w:val="00B56FFD"/>
    <w:rsid w:val="00B57A69"/>
    <w:rsid w:val="00B77070"/>
    <w:rsid w:val="00B854F1"/>
    <w:rsid w:val="00BA5E98"/>
    <w:rsid w:val="00BB23ED"/>
    <w:rsid w:val="00BB4A11"/>
    <w:rsid w:val="00BC0C10"/>
    <w:rsid w:val="00BC22BB"/>
    <w:rsid w:val="00BC4864"/>
    <w:rsid w:val="00BD3534"/>
    <w:rsid w:val="00BD3DBF"/>
    <w:rsid w:val="00BD6169"/>
    <w:rsid w:val="00BD6618"/>
    <w:rsid w:val="00BF09DE"/>
    <w:rsid w:val="00BF69B5"/>
    <w:rsid w:val="00C10998"/>
    <w:rsid w:val="00C215AD"/>
    <w:rsid w:val="00C33FB4"/>
    <w:rsid w:val="00C35356"/>
    <w:rsid w:val="00C3645A"/>
    <w:rsid w:val="00C41CE0"/>
    <w:rsid w:val="00C4496B"/>
    <w:rsid w:val="00C5159A"/>
    <w:rsid w:val="00C5293B"/>
    <w:rsid w:val="00C62F34"/>
    <w:rsid w:val="00C71C46"/>
    <w:rsid w:val="00C74C51"/>
    <w:rsid w:val="00C81BC0"/>
    <w:rsid w:val="00C859E5"/>
    <w:rsid w:val="00C85C7F"/>
    <w:rsid w:val="00CA3DFD"/>
    <w:rsid w:val="00CB3A0E"/>
    <w:rsid w:val="00CB657A"/>
    <w:rsid w:val="00CC4529"/>
    <w:rsid w:val="00CC6CEF"/>
    <w:rsid w:val="00CD1779"/>
    <w:rsid w:val="00CE6393"/>
    <w:rsid w:val="00CF6FB0"/>
    <w:rsid w:val="00D0320F"/>
    <w:rsid w:val="00D0429B"/>
    <w:rsid w:val="00D05BA1"/>
    <w:rsid w:val="00D13566"/>
    <w:rsid w:val="00D15C4E"/>
    <w:rsid w:val="00D37EBB"/>
    <w:rsid w:val="00D43B4D"/>
    <w:rsid w:val="00D43F30"/>
    <w:rsid w:val="00D472EA"/>
    <w:rsid w:val="00D64834"/>
    <w:rsid w:val="00D72C94"/>
    <w:rsid w:val="00D83B78"/>
    <w:rsid w:val="00DA291A"/>
    <w:rsid w:val="00DD1303"/>
    <w:rsid w:val="00DD1D85"/>
    <w:rsid w:val="00E03594"/>
    <w:rsid w:val="00E07F30"/>
    <w:rsid w:val="00E133A3"/>
    <w:rsid w:val="00E17F87"/>
    <w:rsid w:val="00E2022B"/>
    <w:rsid w:val="00E232DB"/>
    <w:rsid w:val="00E358A5"/>
    <w:rsid w:val="00E41C44"/>
    <w:rsid w:val="00E451B5"/>
    <w:rsid w:val="00E55983"/>
    <w:rsid w:val="00E57880"/>
    <w:rsid w:val="00E66F02"/>
    <w:rsid w:val="00E704EC"/>
    <w:rsid w:val="00E713B7"/>
    <w:rsid w:val="00E76C9F"/>
    <w:rsid w:val="00E77BDF"/>
    <w:rsid w:val="00E81EE7"/>
    <w:rsid w:val="00E872C5"/>
    <w:rsid w:val="00E9127D"/>
    <w:rsid w:val="00E935ED"/>
    <w:rsid w:val="00EA02F6"/>
    <w:rsid w:val="00EA128F"/>
    <w:rsid w:val="00EA64A8"/>
    <w:rsid w:val="00EB5468"/>
    <w:rsid w:val="00ED0285"/>
    <w:rsid w:val="00EF045E"/>
    <w:rsid w:val="00EF0B32"/>
    <w:rsid w:val="00F108A3"/>
    <w:rsid w:val="00F14958"/>
    <w:rsid w:val="00F23F6A"/>
    <w:rsid w:val="00F33F97"/>
    <w:rsid w:val="00F52177"/>
    <w:rsid w:val="00F52872"/>
    <w:rsid w:val="00F54A62"/>
    <w:rsid w:val="00F56E6C"/>
    <w:rsid w:val="00F62B4B"/>
    <w:rsid w:val="00F935AA"/>
    <w:rsid w:val="00FA3EC6"/>
    <w:rsid w:val="00FB19C8"/>
    <w:rsid w:val="00FB33B0"/>
    <w:rsid w:val="00FE3017"/>
    <w:rsid w:val="00FF29AB"/>
    <w:rsid w:val="00FF6F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020EA"/>
  <w15:docId w15:val="{70BD8642-0026-4B9D-9A78-3FAAC19D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8DB"/>
    <w:rPr>
      <w:lang w:eastAsia="es-ES"/>
    </w:rPr>
  </w:style>
  <w:style w:type="paragraph" w:styleId="Ttulo1">
    <w:name w:val="heading 1"/>
    <w:aliases w:val="ARTICULO 1º,Negrita"/>
    <w:basedOn w:val="Normal"/>
    <w:next w:val="Normal"/>
    <w:uiPriority w:val="9"/>
    <w:qFormat/>
    <w:rsid w:val="002628DB"/>
    <w:pPr>
      <w:keepNext/>
      <w:jc w:val="both"/>
      <w:outlineLvl w:val="0"/>
    </w:pPr>
    <w:rPr>
      <w:szCs w:val="20"/>
      <w:lang w:val="es-MX"/>
    </w:rPr>
  </w:style>
  <w:style w:type="paragraph" w:styleId="Ttulo2">
    <w:name w:val="heading 2"/>
    <w:basedOn w:val="Normal"/>
    <w:next w:val="Normal"/>
    <w:link w:val="Ttulo2Car"/>
    <w:uiPriority w:val="9"/>
    <w:semiHidden/>
    <w:unhideWhenUsed/>
    <w:qFormat/>
    <w:rsid w:val="001F57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F57D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rsid w:val="00F15C11"/>
    <w:pPr>
      <w:spacing w:before="240" w:after="60"/>
      <w:outlineLvl w:val="4"/>
    </w:pPr>
    <w:rPr>
      <w:b/>
      <w:bCs/>
      <w:i/>
      <w:iCs/>
      <w:sz w:val="26"/>
      <w:szCs w:val="26"/>
      <w:lang w:val="es-ES"/>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A58F1"/>
    <w:pPr>
      <w:contextualSpacing/>
    </w:pPr>
    <w:rPr>
      <w:rFonts w:asciiTheme="majorHAnsi" w:eastAsiaTheme="majorEastAsia" w:hAnsiTheme="majorHAnsi" w:cstheme="majorBidi"/>
      <w:spacing w:val="-10"/>
      <w:kern w:val="28"/>
      <w:sz w:val="56"/>
      <w:szCs w:val="56"/>
    </w:rPr>
  </w:style>
  <w:style w:type="paragraph" w:customStyle="1" w:styleId="Nivel1">
    <w:name w:val="Nivel1"/>
    <w:basedOn w:val="Normal"/>
    <w:next w:val="Normal"/>
    <w:rsid w:val="002628DB"/>
    <w:pPr>
      <w:numPr>
        <w:numId w:val="1"/>
      </w:numPr>
      <w:spacing w:before="480" w:after="120"/>
      <w:jc w:val="both"/>
      <w:outlineLvl w:val="0"/>
    </w:pPr>
    <w:rPr>
      <w:rFonts w:ascii="Arial" w:hAnsi="Arial"/>
      <w:b/>
      <w:caps/>
      <w:szCs w:val="20"/>
    </w:rPr>
  </w:style>
  <w:style w:type="paragraph" w:customStyle="1" w:styleId="Nivel2">
    <w:name w:val="Nivel2"/>
    <w:basedOn w:val="Normal"/>
    <w:next w:val="Normal"/>
    <w:rsid w:val="002628DB"/>
    <w:pPr>
      <w:numPr>
        <w:ilvl w:val="1"/>
        <w:numId w:val="1"/>
      </w:numPr>
      <w:spacing w:before="360" w:after="120"/>
      <w:jc w:val="both"/>
    </w:pPr>
    <w:rPr>
      <w:rFonts w:ascii="Arial" w:hAnsi="Arial"/>
      <w:caps/>
      <w:szCs w:val="20"/>
    </w:rPr>
  </w:style>
  <w:style w:type="paragraph" w:customStyle="1" w:styleId="Nivel3">
    <w:name w:val="Nivel3"/>
    <w:basedOn w:val="Normal"/>
    <w:next w:val="Normal"/>
    <w:rsid w:val="002628DB"/>
    <w:pPr>
      <w:numPr>
        <w:ilvl w:val="2"/>
        <w:numId w:val="1"/>
      </w:numPr>
      <w:spacing w:before="240" w:after="120"/>
      <w:jc w:val="both"/>
    </w:pPr>
    <w:rPr>
      <w:rFonts w:ascii="Arial" w:hAnsi="Arial"/>
      <w:szCs w:val="20"/>
    </w:rPr>
  </w:style>
  <w:style w:type="paragraph" w:customStyle="1" w:styleId="Nivel4">
    <w:name w:val="Nivel4"/>
    <w:basedOn w:val="Normal"/>
    <w:rsid w:val="002628DB"/>
    <w:pPr>
      <w:numPr>
        <w:ilvl w:val="3"/>
        <w:numId w:val="1"/>
      </w:numPr>
      <w:spacing w:before="120" w:after="120"/>
      <w:jc w:val="both"/>
    </w:pPr>
    <w:rPr>
      <w:rFonts w:ascii="Arial" w:hAnsi="Arial"/>
      <w:szCs w:val="20"/>
    </w:rPr>
  </w:style>
  <w:style w:type="paragraph" w:customStyle="1" w:styleId="Nivel5">
    <w:name w:val="Nivel5"/>
    <w:basedOn w:val="Normal"/>
    <w:rsid w:val="002628DB"/>
    <w:pPr>
      <w:numPr>
        <w:ilvl w:val="4"/>
        <w:numId w:val="1"/>
      </w:numPr>
      <w:spacing w:before="120" w:after="120"/>
      <w:jc w:val="both"/>
    </w:pPr>
    <w:rPr>
      <w:rFonts w:ascii="Arial" w:hAnsi="Arial"/>
      <w:szCs w:val="20"/>
    </w:rPr>
  </w:style>
  <w:style w:type="paragraph" w:styleId="Encabezado">
    <w:name w:val="header"/>
    <w:basedOn w:val="Normal"/>
    <w:link w:val="EncabezadoCar"/>
    <w:uiPriority w:val="99"/>
    <w:rsid w:val="002628DB"/>
    <w:pPr>
      <w:tabs>
        <w:tab w:val="center" w:pos="4252"/>
        <w:tab w:val="right" w:pos="8504"/>
      </w:tabs>
    </w:pPr>
  </w:style>
  <w:style w:type="paragraph" w:styleId="Piedepgina">
    <w:name w:val="footer"/>
    <w:basedOn w:val="Normal"/>
    <w:link w:val="PiedepginaCar"/>
    <w:uiPriority w:val="99"/>
    <w:rsid w:val="002628DB"/>
    <w:pPr>
      <w:tabs>
        <w:tab w:val="center" w:pos="4252"/>
        <w:tab w:val="right" w:pos="8504"/>
      </w:tabs>
    </w:pPr>
  </w:style>
  <w:style w:type="character" w:styleId="Hipervnculo">
    <w:name w:val="Hyperlink"/>
    <w:basedOn w:val="Fuentedeprrafopredeter"/>
    <w:rsid w:val="002628DB"/>
    <w:rPr>
      <w:color w:val="0000FF"/>
      <w:u w:val="single"/>
    </w:rPr>
  </w:style>
  <w:style w:type="character" w:styleId="Nmerodepgina">
    <w:name w:val="page number"/>
    <w:basedOn w:val="Fuentedeprrafopredeter"/>
    <w:rsid w:val="002628DB"/>
  </w:style>
  <w:style w:type="paragraph" w:styleId="Mapadeldocumento">
    <w:name w:val="Document Map"/>
    <w:basedOn w:val="Normal"/>
    <w:semiHidden/>
    <w:rsid w:val="002628DB"/>
    <w:pPr>
      <w:shd w:val="clear" w:color="auto" w:fill="000080"/>
    </w:pPr>
    <w:rPr>
      <w:rFonts w:ascii="Tahoma" w:hAnsi="Tahoma" w:cs="Tahoma"/>
      <w:sz w:val="20"/>
      <w:szCs w:val="20"/>
    </w:rPr>
  </w:style>
  <w:style w:type="paragraph" w:styleId="Textodeglobo">
    <w:name w:val="Balloon Text"/>
    <w:basedOn w:val="Normal"/>
    <w:link w:val="TextodegloboCar"/>
    <w:semiHidden/>
    <w:rsid w:val="002628DB"/>
    <w:rPr>
      <w:rFonts w:ascii="Tahoma" w:hAnsi="Tahoma" w:cs="Tahoma"/>
      <w:sz w:val="16"/>
      <w:szCs w:val="16"/>
    </w:rPr>
  </w:style>
  <w:style w:type="character" w:customStyle="1" w:styleId="TextodegloboCar">
    <w:name w:val="Texto de globo Car"/>
    <w:basedOn w:val="Fuentedeprrafopredeter"/>
    <w:link w:val="Textodeglobo"/>
    <w:rsid w:val="00F15C11"/>
    <w:rPr>
      <w:rFonts w:ascii="Tahoma" w:hAnsi="Tahoma" w:cs="Tahoma"/>
      <w:sz w:val="16"/>
      <w:szCs w:val="16"/>
      <w:lang w:val="es-CO" w:eastAsia="es-ES" w:bidi="ar-SA"/>
    </w:rPr>
  </w:style>
  <w:style w:type="table" w:styleId="Tablaconcuadrcula">
    <w:name w:val="Table Grid"/>
    <w:basedOn w:val="Tablanormal"/>
    <w:uiPriority w:val="39"/>
    <w:rsid w:val="00F15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F15C11"/>
    <w:pPr>
      <w:spacing w:after="120"/>
    </w:pPr>
    <w:rPr>
      <w:lang w:val="es-ES"/>
    </w:rPr>
  </w:style>
  <w:style w:type="character" w:styleId="Refdecomentario">
    <w:name w:val="annotation reference"/>
    <w:basedOn w:val="Fuentedeprrafopredeter"/>
    <w:uiPriority w:val="99"/>
    <w:semiHidden/>
    <w:rsid w:val="00F15C11"/>
    <w:rPr>
      <w:sz w:val="16"/>
      <w:szCs w:val="16"/>
    </w:rPr>
  </w:style>
  <w:style w:type="paragraph" w:styleId="Textocomentario">
    <w:name w:val="annotation text"/>
    <w:basedOn w:val="Normal"/>
    <w:link w:val="TextocomentarioCar"/>
    <w:uiPriority w:val="99"/>
    <w:semiHidden/>
    <w:rsid w:val="00F15C11"/>
    <w:rPr>
      <w:sz w:val="20"/>
      <w:szCs w:val="20"/>
      <w:lang w:val="es-ES"/>
    </w:rPr>
  </w:style>
  <w:style w:type="paragraph" w:customStyle="1" w:styleId="Prrafodelista1">
    <w:name w:val="Párrafo de lista1"/>
    <w:basedOn w:val="Normal"/>
    <w:rsid w:val="0047689E"/>
    <w:pPr>
      <w:spacing w:after="200" w:line="276" w:lineRule="auto"/>
      <w:ind w:left="720"/>
      <w:contextualSpacing/>
    </w:pPr>
    <w:rPr>
      <w:rFonts w:ascii="Calibri" w:hAnsi="Calibri"/>
      <w:sz w:val="22"/>
      <w:szCs w:val="22"/>
      <w:lang w:val="es-ES" w:eastAsia="en-US"/>
    </w:rPr>
  </w:style>
  <w:style w:type="paragraph" w:styleId="Textonotapie">
    <w:name w:val="footnote text"/>
    <w:basedOn w:val="Normal"/>
    <w:semiHidden/>
    <w:rsid w:val="00C17AA0"/>
    <w:rPr>
      <w:sz w:val="20"/>
      <w:szCs w:val="20"/>
      <w:lang w:val="es-ES"/>
    </w:rPr>
  </w:style>
  <w:style w:type="character" w:styleId="Refdenotaalpie">
    <w:name w:val="footnote reference"/>
    <w:basedOn w:val="Fuentedeprrafopredeter"/>
    <w:semiHidden/>
    <w:rsid w:val="00C17AA0"/>
    <w:rPr>
      <w:vertAlign w:val="superscript"/>
    </w:rPr>
  </w:style>
  <w:style w:type="paragraph" w:styleId="Asuntodelcomentario">
    <w:name w:val="annotation subject"/>
    <w:basedOn w:val="Textocomentario"/>
    <w:next w:val="Textocomentario"/>
    <w:semiHidden/>
    <w:rsid w:val="0005455C"/>
    <w:rPr>
      <w:b/>
      <w:bCs/>
      <w:lang w:val="es-CO"/>
    </w:rPr>
  </w:style>
  <w:style w:type="paragraph" w:styleId="Prrafodelista">
    <w:name w:val="List Paragraph"/>
    <w:basedOn w:val="Normal"/>
    <w:link w:val="PrrafodelistaCar"/>
    <w:uiPriority w:val="34"/>
    <w:qFormat/>
    <w:rsid w:val="00164037"/>
    <w:pPr>
      <w:ind w:left="708"/>
    </w:pPr>
    <w:rPr>
      <w:rFonts w:ascii="Arial" w:hAnsi="Arial"/>
      <w:spacing w:val="-20"/>
      <w:sz w:val="28"/>
      <w:szCs w:val="20"/>
    </w:rPr>
  </w:style>
  <w:style w:type="paragraph" w:customStyle="1" w:styleId="Textoindependiente21">
    <w:name w:val="Texto independiente 21"/>
    <w:basedOn w:val="Normal"/>
    <w:rsid w:val="00BB455C"/>
    <w:pPr>
      <w:spacing w:line="360" w:lineRule="auto"/>
      <w:jc w:val="both"/>
    </w:pPr>
    <w:rPr>
      <w:rFonts w:ascii="Arial" w:hAnsi="Arial"/>
      <w:szCs w:val="20"/>
    </w:rPr>
  </w:style>
  <w:style w:type="paragraph" w:styleId="NormalWeb">
    <w:name w:val="Normal (Web)"/>
    <w:basedOn w:val="Normal"/>
    <w:uiPriority w:val="99"/>
    <w:rsid w:val="00E65BE5"/>
    <w:pPr>
      <w:spacing w:before="100" w:beforeAutospacing="1" w:after="100" w:afterAutospacing="1"/>
    </w:pPr>
    <w:rPr>
      <w:lang w:val="es-ES"/>
    </w:rPr>
  </w:style>
  <w:style w:type="character" w:customStyle="1" w:styleId="PrrafodelistaCar">
    <w:name w:val="Párrafo de lista Car"/>
    <w:link w:val="Prrafodelista"/>
    <w:uiPriority w:val="34"/>
    <w:rsid w:val="00C07A4F"/>
    <w:rPr>
      <w:rFonts w:ascii="Arial" w:hAnsi="Arial"/>
      <w:spacing w:val="-20"/>
      <w:sz w:val="28"/>
      <w:lang w:val="es-CO" w:eastAsia="es-ES"/>
    </w:rPr>
  </w:style>
  <w:style w:type="character" w:customStyle="1" w:styleId="TextocomentarioCar">
    <w:name w:val="Texto comentario Car"/>
    <w:basedOn w:val="Fuentedeprrafopredeter"/>
    <w:link w:val="Textocomentario"/>
    <w:uiPriority w:val="99"/>
    <w:semiHidden/>
    <w:rsid w:val="00566423"/>
    <w:rPr>
      <w:lang w:val="es-ES" w:eastAsia="es-ES"/>
    </w:rPr>
  </w:style>
  <w:style w:type="paragraph" w:customStyle="1" w:styleId="Textocomentario1">
    <w:name w:val="Texto comentario1"/>
    <w:basedOn w:val="Normal"/>
    <w:rsid w:val="00AB3F3D"/>
    <w:pPr>
      <w:suppressAutoHyphens/>
      <w:jc w:val="both"/>
    </w:pPr>
    <w:rPr>
      <w:rFonts w:ascii="Verdana" w:hAnsi="Verdana" w:cs="Tahoma"/>
      <w:lang w:val="es-ES" w:eastAsia="zh-CN"/>
    </w:rPr>
  </w:style>
  <w:style w:type="paragraph" w:styleId="Descripcin">
    <w:name w:val="caption"/>
    <w:basedOn w:val="Normal"/>
    <w:next w:val="Normal"/>
    <w:link w:val="DescripcinCar"/>
    <w:uiPriority w:val="35"/>
    <w:unhideWhenUsed/>
    <w:qFormat/>
    <w:rsid w:val="00DF4072"/>
    <w:pPr>
      <w:spacing w:after="240"/>
      <w:jc w:val="both"/>
    </w:pPr>
    <w:rPr>
      <w:rFonts w:asciiTheme="minorHAnsi" w:eastAsiaTheme="minorHAnsi" w:hAnsiTheme="minorHAnsi" w:cstheme="minorBidi"/>
      <w:b/>
      <w:bCs/>
      <w:sz w:val="18"/>
      <w:szCs w:val="18"/>
      <w:lang w:val="es-ES" w:eastAsia="en-US"/>
    </w:rPr>
  </w:style>
  <w:style w:type="character" w:customStyle="1" w:styleId="DescripcinCar">
    <w:name w:val="Descripción Car"/>
    <w:basedOn w:val="Fuentedeprrafopredeter"/>
    <w:link w:val="Descripcin"/>
    <w:uiPriority w:val="35"/>
    <w:rsid w:val="00DF4072"/>
    <w:rPr>
      <w:rFonts w:asciiTheme="minorHAnsi" w:eastAsiaTheme="minorHAnsi" w:hAnsiTheme="minorHAnsi" w:cstheme="minorBidi"/>
      <w:b/>
      <w:bCs/>
      <w:sz w:val="18"/>
      <w:szCs w:val="18"/>
      <w:lang w:val="es-ES" w:eastAsia="en-US"/>
    </w:rPr>
  </w:style>
  <w:style w:type="paragraph" w:customStyle="1" w:styleId="Default">
    <w:name w:val="Default"/>
    <w:rsid w:val="00212844"/>
    <w:pPr>
      <w:autoSpaceDE w:val="0"/>
      <w:autoSpaceDN w:val="0"/>
      <w:adjustRightInd w:val="0"/>
    </w:pPr>
    <w:rPr>
      <w:rFonts w:ascii="Calibri" w:eastAsiaTheme="minorHAnsi" w:hAnsi="Calibri" w:cs="Calibri"/>
      <w:color w:val="000000"/>
      <w:lang w:eastAsia="en-US"/>
    </w:rPr>
  </w:style>
  <w:style w:type="character" w:customStyle="1" w:styleId="EncabezadoCar">
    <w:name w:val="Encabezado Car"/>
    <w:basedOn w:val="Fuentedeprrafopredeter"/>
    <w:link w:val="Encabezado"/>
    <w:uiPriority w:val="99"/>
    <w:rsid w:val="00212844"/>
    <w:rPr>
      <w:sz w:val="24"/>
      <w:szCs w:val="24"/>
      <w:lang w:val="es-CO" w:eastAsia="es-ES"/>
    </w:rPr>
  </w:style>
  <w:style w:type="character" w:customStyle="1" w:styleId="PiedepginaCar">
    <w:name w:val="Pie de página Car"/>
    <w:basedOn w:val="Fuentedeprrafopredeter"/>
    <w:link w:val="Piedepgina"/>
    <w:uiPriority w:val="99"/>
    <w:rsid w:val="00212844"/>
    <w:rPr>
      <w:sz w:val="24"/>
      <w:szCs w:val="24"/>
      <w:lang w:val="es-CO" w:eastAsia="es-ES"/>
    </w:rPr>
  </w:style>
  <w:style w:type="paragraph" w:customStyle="1" w:styleId="Textodenotaalfinal">
    <w:name w:val="Texto de nota al final"/>
    <w:basedOn w:val="Normal"/>
    <w:rsid w:val="00212844"/>
    <w:pPr>
      <w:widowControl w:val="0"/>
      <w:spacing w:before="120" w:after="60"/>
      <w:jc w:val="both"/>
    </w:pPr>
    <w:rPr>
      <w:rFonts w:ascii="Arial" w:hAnsi="Arial"/>
      <w:i/>
      <w:szCs w:val="20"/>
      <w:lang w:val="es-ES_tradnl"/>
    </w:rPr>
  </w:style>
  <w:style w:type="paragraph" w:styleId="Sinespaciado">
    <w:name w:val="No Spacing"/>
    <w:uiPriority w:val="1"/>
    <w:qFormat/>
    <w:rsid w:val="00C9169E"/>
    <w:rPr>
      <w:rFonts w:asciiTheme="minorHAnsi" w:eastAsiaTheme="minorHAnsi" w:hAnsiTheme="minorHAnsi" w:cstheme="minorBidi"/>
      <w:szCs w:val="22"/>
      <w:lang w:val="en-US" w:eastAsia="en-US"/>
    </w:rPr>
  </w:style>
  <w:style w:type="character" w:customStyle="1" w:styleId="Ttulo2Car">
    <w:name w:val="Título 2 Car"/>
    <w:basedOn w:val="Fuentedeprrafopredeter"/>
    <w:link w:val="Ttulo2"/>
    <w:uiPriority w:val="9"/>
    <w:semiHidden/>
    <w:rsid w:val="001F57DA"/>
    <w:rPr>
      <w:rFonts w:asciiTheme="majorHAnsi" w:eastAsiaTheme="majorEastAsia" w:hAnsiTheme="majorHAnsi" w:cstheme="majorBidi"/>
      <w:color w:val="365F91" w:themeColor="accent1" w:themeShade="BF"/>
      <w:sz w:val="26"/>
      <w:szCs w:val="26"/>
      <w:lang w:val="es-CO" w:eastAsia="es-ES"/>
    </w:rPr>
  </w:style>
  <w:style w:type="character" w:customStyle="1" w:styleId="Ttulo3Car">
    <w:name w:val="Título 3 Car"/>
    <w:basedOn w:val="Fuentedeprrafopredeter"/>
    <w:link w:val="Ttulo3"/>
    <w:uiPriority w:val="9"/>
    <w:semiHidden/>
    <w:rsid w:val="001F57DA"/>
    <w:rPr>
      <w:rFonts w:asciiTheme="majorHAnsi" w:eastAsiaTheme="majorEastAsia" w:hAnsiTheme="majorHAnsi" w:cstheme="majorBidi"/>
      <w:color w:val="243F60" w:themeColor="accent1" w:themeShade="7F"/>
      <w:sz w:val="24"/>
      <w:szCs w:val="24"/>
      <w:lang w:val="es-CO" w:eastAsia="es-ES"/>
    </w:rPr>
  </w:style>
  <w:style w:type="table" w:customStyle="1" w:styleId="Tablanormal21">
    <w:name w:val="Tabla normal 21"/>
    <w:basedOn w:val="Tablanormal"/>
    <w:uiPriority w:val="42"/>
    <w:rsid w:val="001F57DA"/>
    <w:rPr>
      <w:rFonts w:asciiTheme="minorHAnsi" w:eastAsiaTheme="minorHAnsi"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normal31">
    <w:name w:val="Tabla normal 31"/>
    <w:basedOn w:val="Normal"/>
    <w:uiPriority w:val="34"/>
    <w:qFormat/>
    <w:rsid w:val="00CF0B30"/>
    <w:pPr>
      <w:suppressAutoHyphens/>
      <w:ind w:left="708"/>
    </w:pPr>
    <w:rPr>
      <w:lang w:eastAsia="zh-CN"/>
    </w:rPr>
  </w:style>
  <w:style w:type="paragraph" w:customStyle="1" w:styleId="Listamulticolor-nfasis11">
    <w:name w:val="Lista multicolor - Énfasis 11"/>
    <w:basedOn w:val="Normal"/>
    <w:uiPriority w:val="34"/>
    <w:qFormat/>
    <w:rsid w:val="009761E3"/>
    <w:pPr>
      <w:spacing w:after="200" w:line="276" w:lineRule="auto"/>
      <w:ind w:left="720"/>
      <w:contextualSpacing/>
    </w:pPr>
    <w:rPr>
      <w:rFonts w:ascii="Calibri" w:eastAsia="Calibri" w:hAnsi="Calibri"/>
      <w:sz w:val="22"/>
      <w:szCs w:val="22"/>
      <w:lang w:eastAsia="en-US"/>
    </w:rPr>
  </w:style>
  <w:style w:type="paragraph" w:styleId="Sangra2detindependiente">
    <w:name w:val="Body Text Indent 2"/>
    <w:basedOn w:val="Normal"/>
    <w:link w:val="Sangra2detindependienteCar"/>
    <w:uiPriority w:val="99"/>
    <w:unhideWhenUsed/>
    <w:rsid w:val="001A717E"/>
    <w:pPr>
      <w:spacing w:after="120" w:line="480" w:lineRule="auto"/>
      <w:ind w:left="283"/>
    </w:pPr>
    <w:rPr>
      <w:lang w:val="es-ES"/>
    </w:rPr>
  </w:style>
  <w:style w:type="character" w:customStyle="1" w:styleId="Sangra2detindependienteCar">
    <w:name w:val="Sangría 2 de t. independiente Car"/>
    <w:basedOn w:val="Fuentedeprrafopredeter"/>
    <w:link w:val="Sangra2detindependiente"/>
    <w:uiPriority w:val="99"/>
    <w:rsid w:val="001A717E"/>
    <w:rPr>
      <w:sz w:val="24"/>
      <w:szCs w:val="24"/>
      <w:lang w:val="es-ES" w:eastAsia="es-ES"/>
    </w:rPr>
  </w:style>
  <w:style w:type="character" w:customStyle="1" w:styleId="TtuloCar">
    <w:name w:val="Título Car"/>
    <w:basedOn w:val="Fuentedeprrafopredeter"/>
    <w:link w:val="Ttulo"/>
    <w:uiPriority w:val="10"/>
    <w:rsid w:val="005A58F1"/>
    <w:rPr>
      <w:rFonts w:asciiTheme="majorHAnsi" w:eastAsiaTheme="majorEastAsia" w:hAnsiTheme="majorHAnsi" w:cstheme="majorBidi"/>
      <w:spacing w:val="-10"/>
      <w:kern w:val="28"/>
      <w:sz w:val="56"/>
      <w:szCs w:val="56"/>
      <w:lang w:val="es-CO" w:eastAsia="es-ES"/>
    </w:rPr>
  </w:style>
  <w:style w:type="character" w:customStyle="1" w:styleId="Mencinsinresolver1">
    <w:name w:val="Mención sin resolver1"/>
    <w:basedOn w:val="Fuentedeprrafopredeter"/>
    <w:uiPriority w:val="99"/>
    <w:semiHidden/>
    <w:unhideWhenUsed/>
    <w:rsid w:val="007C0C2D"/>
    <w:rPr>
      <w:color w:val="808080"/>
      <w:shd w:val="clear" w:color="auto" w:fill="E6E6E6"/>
    </w:rPr>
  </w:style>
  <w:style w:type="paragraph" w:styleId="Revisin">
    <w:name w:val="Revision"/>
    <w:hidden/>
    <w:uiPriority w:val="99"/>
    <w:semiHidden/>
    <w:rsid w:val="00351531"/>
    <w:rPr>
      <w:lang w:eastAsia="es-ES"/>
    </w:rPr>
  </w:style>
  <w:style w:type="paragraph" w:customStyle="1" w:styleId="textocarta">
    <w:name w:val="texto carta"/>
    <w:basedOn w:val="Normal"/>
    <w:uiPriority w:val="99"/>
    <w:rsid w:val="00351F5C"/>
    <w:pPr>
      <w:autoSpaceDE w:val="0"/>
      <w:autoSpaceDN w:val="0"/>
      <w:adjustRightInd w:val="0"/>
      <w:spacing w:line="300" w:lineRule="atLeast"/>
      <w:ind w:firstLine="300"/>
      <w:jc w:val="both"/>
      <w:textAlignment w:val="center"/>
    </w:pPr>
    <w:rPr>
      <w:rFonts w:ascii="Ancizar Sans Regular" w:eastAsiaTheme="minorEastAsia" w:hAnsi="Ancizar Sans Regular" w:cs="Ancizar Sans Regular"/>
      <w:color w:val="000000"/>
      <w:sz w:val="22"/>
      <w:szCs w:val="22"/>
      <w:lang w:val="es-ES_tradnl"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3B7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78371">
      <w:bodyDiv w:val="1"/>
      <w:marLeft w:val="0"/>
      <w:marRight w:val="0"/>
      <w:marTop w:val="0"/>
      <w:marBottom w:val="0"/>
      <w:divBdr>
        <w:top w:val="none" w:sz="0" w:space="0" w:color="auto"/>
        <w:left w:val="none" w:sz="0" w:space="0" w:color="auto"/>
        <w:bottom w:val="none" w:sz="0" w:space="0" w:color="auto"/>
        <w:right w:val="none" w:sz="0" w:space="0" w:color="auto"/>
      </w:divBdr>
    </w:div>
    <w:div w:id="511574261">
      <w:bodyDiv w:val="1"/>
      <w:marLeft w:val="0"/>
      <w:marRight w:val="0"/>
      <w:marTop w:val="0"/>
      <w:marBottom w:val="0"/>
      <w:divBdr>
        <w:top w:val="none" w:sz="0" w:space="0" w:color="auto"/>
        <w:left w:val="none" w:sz="0" w:space="0" w:color="auto"/>
        <w:bottom w:val="none" w:sz="0" w:space="0" w:color="auto"/>
        <w:right w:val="none" w:sz="0" w:space="0" w:color="auto"/>
      </w:divBdr>
    </w:div>
    <w:div w:id="642348620">
      <w:bodyDiv w:val="1"/>
      <w:marLeft w:val="0"/>
      <w:marRight w:val="0"/>
      <w:marTop w:val="0"/>
      <w:marBottom w:val="0"/>
      <w:divBdr>
        <w:top w:val="none" w:sz="0" w:space="0" w:color="auto"/>
        <w:left w:val="none" w:sz="0" w:space="0" w:color="auto"/>
        <w:bottom w:val="none" w:sz="0" w:space="0" w:color="auto"/>
        <w:right w:val="none" w:sz="0" w:space="0" w:color="auto"/>
      </w:divBdr>
    </w:div>
    <w:div w:id="1017150024">
      <w:bodyDiv w:val="1"/>
      <w:marLeft w:val="0"/>
      <w:marRight w:val="0"/>
      <w:marTop w:val="0"/>
      <w:marBottom w:val="0"/>
      <w:divBdr>
        <w:top w:val="none" w:sz="0" w:space="0" w:color="auto"/>
        <w:left w:val="none" w:sz="0" w:space="0" w:color="auto"/>
        <w:bottom w:val="none" w:sz="0" w:space="0" w:color="auto"/>
        <w:right w:val="none" w:sz="0" w:space="0" w:color="auto"/>
      </w:divBdr>
    </w:div>
    <w:div w:id="1864443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9F8C5-6C9D-4B7C-9FD0-F03430CB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2275</Words>
  <Characters>12516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 CNO</dc:creator>
  <cp:keywords/>
  <dc:description/>
  <cp:lastModifiedBy>Alberto Olarte</cp:lastModifiedBy>
  <cp:revision>2</cp:revision>
  <dcterms:created xsi:type="dcterms:W3CDTF">2019-12-05T11:52:00Z</dcterms:created>
  <dcterms:modified xsi:type="dcterms:W3CDTF">2019-12-05T11:52:00Z</dcterms:modified>
</cp:coreProperties>
</file>