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7A202C" w14:textId="783ED174" w:rsidR="00112C06" w:rsidRPr="00D3052A" w:rsidRDefault="00112C06" w:rsidP="00556094">
      <w:pPr>
        <w:pStyle w:val="Ttulo"/>
        <w:jc w:val="center"/>
        <w:rPr>
          <w:rFonts w:ascii="Verdana" w:eastAsia="Verdana" w:hAnsi="Verdana" w:cs="Verdana"/>
          <w:b/>
          <w:sz w:val="32"/>
          <w:szCs w:val="32"/>
        </w:rPr>
      </w:pPr>
      <w:r w:rsidRPr="00D3052A">
        <w:rPr>
          <w:rFonts w:ascii="Verdana" w:eastAsia="Verdana" w:hAnsi="Verdana" w:cs="Verdana"/>
          <w:b/>
          <w:sz w:val="32"/>
          <w:szCs w:val="32"/>
        </w:rPr>
        <w:t>INFORME CNO 5</w:t>
      </w:r>
      <w:r w:rsidR="005F56D1" w:rsidRPr="00D3052A">
        <w:rPr>
          <w:rFonts w:ascii="Verdana" w:eastAsia="Verdana" w:hAnsi="Verdana" w:cs="Verdana"/>
          <w:b/>
          <w:sz w:val="32"/>
          <w:szCs w:val="32"/>
        </w:rPr>
        <w:t>8</w:t>
      </w:r>
      <w:r w:rsidR="00AD0D28" w:rsidRPr="00D3052A">
        <w:rPr>
          <w:rFonts w:ascii="Verdana" w:eastAsia="Verdana" w:hAnsi="Verdana" w:cs="Verdana"/>
          <w:b/>
          <w:sz w:val="32"/>
          <w:szCs w:val="32"/>
        </w:rPr>
        <w:t>4</w:t>
      </w:r>
    </w:p>
    <w:p w14:paraId="2938B4BE" w14:textId="77777777" w:rsidR="0078364C" w:rsidRPr="00D3052A" w:rsidRDefault="0078364C" w:rsidP="00556094">
      <w:pPr>
        <w:jc w:val="both"/>
        <w:rPr>
          <w:rFonts w:ascii="Verdana" w:eastAsia="Verdana" w:hAnsi="Verdana" w:cs="Verdana"/>
          <w:sz w:val="22"/>
          <w:szCs w:val="22"/>
        </w:rPr>
      </w:pPr>
    </w:p>
    <w:p w14:paraId="6E0C8BBC" w14:textId="12FDAF3F" w:rsidR="00112C06" w:rsidRPr="00D3052A" w:rsidRDefault="00112C06">
      <w:pPr>
        <w:jc w:val="both"/>
        <w:rPr>
          <w:rFonts w:ascii="Verdana" w:eastAsia="Verdana" w:hAnsi="Verdana" w:cs="Verdana"/>
          <w:sz w:val="22"/>
          <w:szCs w:val="22"/>
        </w:rPr>
      </w:pPr>
      <w:r w:rsidRPr="00D3052A">
        <w:rPr>
          <w:rFonts w:ascii="Verdana" w:eastAsia="Verdana" w:hAnsi="Verdana" w:cs="Verdana"/>
          <w:sz w:val="22"/>
          <w:szCs w:val="22"/>
        </w:rPr>
        <w:t xml:space="preserve">Fecha: </w:t>
      </w:r>
      <w:r w:rsidR="00AD0D28" w:rsidRPr="00D3052A">
        <w:rPr>
          <w:rFonts w:ascii="Verdana" w:eastAsia="Verdana" w:hAnsi="Verdana" w:cs="Verdana"/>
          <w:sz w:val="22"/>
          <w:szCs w:val="22"/>
        </w:rPr>
        <w:t>febre</w:t>
      </w:r>
      <w:r w:rsidR="005F56D1" w:rsidRPr="00D3052A">
        <w:rPr>
          <w:rFonts w:ascii="Verdana" w:eastAsia="Verdana" w:hAnsi="Verdana" w:cs="Verdana"/>
          <w:sz w:val="22"/>
          <w:szCs w:val="22"/>
        </w:rPr>
        <w:t>ro 6</w:t>
      </w:r>
      <w:r w:rsidR="00C5293B" w:rsidRPr="00D3052A">
        <w:rPr>
          <w:rFonts w:ascii="Verdana" w:eastAsia="Verdana" w:hAnsi="Verdana" w:cs="Verdana"/>
          <w:sz w:val="22"/>
          <w:szCs w:val="22"/>
        </w:rPr>
        <w:t xml:space="preserve"> </w:t>
      </w:r>
      <w:r w:rsidRPr="00D3052A">
        <w:rPr>
          <w:rFonts w:ascii="Verdana" w:eastAsia="Verdana" w:hAnsi="Verdana" w:cs="Verdana"/>
          <w:sz w:val="22"/>
          <w:szCs w:val="22"/>
        </w:rPr>
        <w:t>de 20</w:t>
      </w:r>
      <w:r w:rsidR="005F56D1" w:rsidRPr="00D3052A">
        <w:rPr>
          <w:rFonts w:ascii="Verdana" w:eastAsia="Verdana" w:hAnsi="Verdana" w:cs="Verdana"/>
          <w:sz w:val="22"/>
          <w:szCs w:val="22"/>
        </w:rPr>
        <w:t>20</w:t>
      </w:r>
      <w:r w:rsidRPr="00D3052A">
        <w:rPr>
          <w:rFonts w:ascii="Verdana" w:eastAsia="Verdana" w:hAnsi="Verdana" w:cs="Verdana"/>
          <w:sz w:val="22"/>
          <w:szCs w:val="22"/>
        </w:rPr>
        <w:t>.</w:t>
      </w:r>
    </w:p>
    <w:p w14:paraId="1E7EB3B9" w14:textId="77777777" w:rsidR="0078364C" w:rsidRPr="00D3052A" w:rsidRDefault="0078364C">
      <w:pPr>
        <w:jc w:val="both"/>
        <w:rPr>
          <w:rFonts w:ascii="Verdana" w:eastAsia="Verdana" w:hAnsi="Verdana" w:cs="Verdana"/>
          <w:b/>
          <w:sz w:val="22"/>
          <w:szCs w:val="22"/>
          <w:u w:val="single"/>
        </w:rPr>
      </w:pPr>
    </w:p>
    <w:p w14:paraId="7183085F" w14:textId="7F7AA0FB" w:rsidR="00112C06" w:rsidRPr="00D3052A" w:rsidRDefault="00112C06">
      <w:pPr>
        <w:jc w:val="both"/>
        <w:rPr>
          <w:rFonts w:ascii="Verdana" w:eastAsia="Verdana" w:hAnsi="Verdana" w:cs="Verdana"/>
          <w:b/>
          <w:sz w:val="22"/>
          <w:szCs w:val="22"/>
          <w:u w:val="single"/>
        </w:rPr>
      </w:pPr>
      <w:r w:rsidRPr="00D3052A">
        <w:rPr>
          <w:rFonts w:ascii="Verdana" w:eastAsia="Verdana" w:hAnsi="Verdana" w:cs="Verdana"/>
          <w:b/>
          <w:sz w:val="22"/>
          <w:szCs w:val="22"/>
          <w:u w:val="single"/>
        </w:rPr>
        <w:t>ASPECTOS ADMINISTRATIVOS:</w:t>
      </w:r>
    </w:p>
    <w:p w14:paraId="740BC901" w14:textId="77777777" w:rsidR="00282C44" w:rsidRPr="00D3052A" w:rsidRDefault="00282C44">
      <w:pPr>
        <w:autoSpaceDE w:val="0"/>
        <w:autoSpaceDN w:val="0"/>
        <w:adjustRightInd w:val="0"/>
        <w:jc w:val="both"/>
        <w:rPr>
          <w:rFonts w:ascii="Verdana" w:eastAsia="Verdana" w:hAnsi="Verdana" w:cs="Verdana"/>
          <w:sz w:val="22"/>
          <w:szCs w:val="22"/>
        </w:rPr>
      </w:pPr>
    </w:p>
    <w:p w14:paraId="66205464" w14:textId="62CF55F8" w:rsidR="0060078E" w:rsidRPr="00D3052A" w:rsidRDefault="0060078E">
      <w:pPr>
        <w:pStyle w:val="Prrafodelista"/>
        <w:numPr>
          <w:ilvl w:val="0"/>
          <w:numId w:val="35"/>
        </w:numPr>
        <w:autoSpaceDE w:val="0"/>
        <w:autoSpaceDN w:val="0"/>
        <w:adjustRightInd w:val="0"/>
        <w:jc w:val="both"/>
        <w:rPr>
          <w:rFonts w:ascii="Verdana" w:eastAsia="Verdana" w:hAnsi="Verdana" w:cs="Verdana"/>
          <w:sz w:val="22"/>
          <w:szCs w:val="22"/>
        </w:rPr>
      </w:pPr>
      <w:r w:rsidRPr="00D3052A">
        <w:rPr>
          <w:rFonts w:ascii="Verdana" w:eastAsia="Verdana" w:hAnsi="Verdana" w:cs="Verdana"/>
          <w:sz w:val="22"/>
          <w:szCs w:val="22"/>
        </w:rPr>
        <w:t>Según lo previsto en el Reglamento Interno del CNO, hasta el 31 de enero de 2020 se recib</w:t>
      </w:r>
      <w:r w:rsidR="009F79B5" w:rsidRPr="00D3052A">
        <w:rPr>
          <w:rFonts w:ascii="Verdana" w:eastAsia="Verdana" w:hAnsi="Verdana" w:cs="Verdana"/>
          <w:sz w:val="22"/>
          <w:szCs w:val="22"/>
        </w:rPr>
        <w:t>ieron</w:t>
      </w:r>
      <w:r w:rsidRPr="00D3052A">
        <w:rPr>
          <w:rFonts w:ascii="Verdana" w:eastAsia="Verdana" w:hAnsi="Verdana" w:cs="Verdana"/>
          <w:sz w:val="22"/>
          <w:szCs w:val="22"/>
        </w:rPr>
        <w:t xml:space="preserve"> las solicitudes de las empresas de generación, transmisión y distribución </w:t>
      </w:r>
      <w:r w:rsidR="009F79B5" w:rsidRPr="00D3052A">
        <w:rPr>
          <w:rFonts w:ascii="Verdana" w:eastAsia="Verdana" w:hAnsi="Verdana" w:cs="Verdana"/>
          <w:sz w:val="22"/>
          <w:szCs w:val="22"/>
        </w:rPr>
        <w:t>para</w:t>
      </w:r>
      <w:r w:rsidRPr="00D3052A">
        <w:rPr>
          <w:rFonts w:ascii="Verdana" w:eastAsia="Verdana" w:hAnsi="Verdana" w:cs="Verdana"/>
          <w:sz w:val="22"/>
          <w:szCs w:val="22"/>
        </w:rPr>
        <w:t xml:space="preserve"> ser invitadas a las reuniones del CNO y de los comités y subcomités </w:t>
      </w:r>
      <w:r w:rsidR="00E94436" w:rsidRPr="00D3052A">
        <w:rPr>
          <w:rFonts w:ascii="Verdana" w:eastAsia="Verdana" w:hAnsi="Verdana" w:cs="Verdana"/>
          <w:sz w:val="22"/>
          <w:szCs w:val="22"/>
        </w:rPr>
        <w:t>del Consejo</w:t>
      </w:r>
      <w:r w:rsidRPr="00D3052A">
        <w:rPr>
          <w:rFonts w:ascii="Verdana" w:eastAsia="Verdana" w:hAnsi="Verdana" w:cs="Verdana"/>
          <w:sz w:val="22"/>
          <w:szCs w:val="22"/>
        </w:rPr>
        <w:t>.</w:t>
      </w:r>
      <w:r w:rsidR="0078364C" w:rsidRPr="00D3052A">
        <w:rPr>
          <w:rFonts w:ascii="Verdana" w:eastAsia="Verdana" w:hAnsi="Verdana" w:cs="Verdana"/>
          <w:sz w:val="22"/>
          <w:szCs w:val="22"/>
        </w:rPr>
        <w:t xml:space="preserve"> A </w:t>
      </w:r>
      <w:r w:rsidR="00D37117" w:rsidRPr="00D3052A">
        <w:rPr>
          <w:rFonts w:ascii="Verdana" w:eastAsia="Verdana" w:hAnsi="Verdana" w:cs="Verdana"/>
          <w:sz w:val="22"/>
          <w:szCs w:val="22"/>
        </w:rPr>
        <w:t xml:space="preserve">continuación, </w:t>
      </w:r>
      <w:r w:rsidR="0078364C" w:rsidRPr="00D3052A">
        <w:rPr>
          <w:rFonts w:ascii="Verdana" w:eastAsia="Verdana" w:hAnsi="Verdana" w:cs="Verdana"/>
          <w:sz w:val="22"/>
          <w:szCs w:val="22"/>
        </w:rPr>
        <w:t xml:space="preserve">se presentan las empresas que </w:t>
      </w:r>
      <w:r w:rsidR="003740A7">
        <w:rPr>
          <w:rFonts w:ascii="Verdana" w:eastAsia="Verdana" w:hAnsi="Verdana" w:cs="Verdana"/>
          <w:sz w:val="22"/>
          <w:szCs w:val="22"/>
        </w:rPr>
        <w:t xml:space="preserve">solicitaron </w:t>
      </w:r>
      <w:r w:rsidR="0078364C" w:rsidRPr="00D3052A">
        <w:rPr>
          <w:rFonts w:ascii="Verdana" w:eastAsia="Verdana" w:hAnsi="Verdana" w:cs="Verdana"/>
          <w:sz w:val="22"/>
          <w:szCs w:val="22"/>
        </w:rPr>
        <w:t>asistir a</w:t>
      </w:r>
      <w:r w:rsidR="00EA40E9">
        <w:rPr>
          <w:rFonts w:ascii="Verdana" w:eastAsia="Verdana" w:hAnsi="Verdana" w:cs="Verdana"/>
          <w:sz w:val="22"/>
          <w:szCs w:val="22"/>
        </w:rPr>
        <w:t>l Consejo y a</w:t>
      </w:r>
      <w:r w:rsidR="0078364C" w:rsidRPr="00D3052A">
        <w:rPr>
          <w:rFonts w:ascii="Verdana" w:eastAsia="Verdana" w:hAnsi="Verdana" w:cs="Verdana"/>
          <w:sz w:val="22"/>
          <w:szCs w:val="22"/>
        </w:rPr>
        <w:t xml:space="preserve"> los diferentes Comités y Subcomités:</w:t>
      </w:r>
    </w:p>
    <w:p w14:paraId="19C72523" w14:textId="507B2859" w:rsidR="009F79B5" w:rsidRPr="00D3052A" w:rsidRDefault="009F79B5">
      <w:pPr>
        <w:autoSpaceDE w:val="0"/>
        <w:autoSpaceDN w:val="0"/>
        <w:adjustRightInd w:val="0"/>
        <w:jc w:val="both"/>
        <w:rPr>
          <w:rFonts w:ascii="Verdana" w:eastAsia="Verdana" w:hAnsi="Verdana" w:cs="Verdana"/>
          <w:sz w:val="22"/>
          <w:szCs w:val="22"/>
        </w:rPr>
      </w:pPr>
    </w:p>
    <w:p w14:paraId="1FC7B46D" w14:textId="4B61881F" w:rsidR="009F79B5" w:rsidRPr="00D3052A" w:rsidRDefault="009F79B5">
      <w:pPr>
        <w:autoSpaceDE w:val="0"/>
        <w:autoSpaceDN w:val="0"/>
        <w:adjustRightInd w:val="0"/>
        <w:jc w:val="both"/>
        <w:rPr>
          <w:rFonts w:ascii="Verdana" w:eastAsia="Verdana" w:hAnsi="Verdana" w:cs="Verdana"/>
          <w:sz w:val="22"/>
          <w:szCs w:val="22"/>
        </w:rPr>
      </w:pPr>
    </w:p>
    <w:tbl>
      <w:tblPr>
        <w:tblStyle w:val="Tablaconcuadrcula"/>
        <w:tblW w:w="0" w:type="auto"/>
        <w:jc w:val="center"/>
        <w:tblLook w:val="04A0" w:firstRow="1" w:lastRow="0" w:firstColumn="1" w:lastColumn="0" w:noHBand="0" w:noVBand="1"/>
      </w:tblPr>
      <w:tblGrid>
        <w:gridCol w:w="4957"/>
        <w:gridCol w:w="3402"/>
      </w:tblGrid>
      <w:tr w:rsidR="00D37117" w:rsidRPr="00B22CCE" w14:paraId="5DF22BA7" w14:textId="0B201F50" w:rsidTr="00B22CCE">
        <w:trPr>
          <w:jc w:val="center"/>
        </w:trPr>
        <w:tc>
          <w:tcPr>
            <w:tcW w:w="4957" w:type="dxa"/>
          </w:tcPr>
          <w:p w14:paraId="6D778774" w14:textId="28E8E9D9" w:rsidR="0078364C" w:rsidRPr="00B22CCE" w:rsidRDefault="0078364C">
            <w:pPr>
              <w:autoSpaceDE w:val="0"/>
              <w:autoSpaceDN w:val="0"/>
              <w:adjustRightInd w:val="0"/>
              <w:jc w:val="both"/>
              <w:rPr>
                <w:rFonts w:ascii="Verdana" w:eastAsia="Verdana" w:hAnsi="Verdana" w:cs="Verdana"/>
                <w:sz w:val="22"/>
                <w:szCs w:val="22"/>
              </w:rPr>
            </w:pPr>
            <w:r w:rsidRPr="00B22CCE">
              <w:rPr>
                <w:rFonts w:ascii="Verdana" w:eastAsia="Verdana" w:hAnsi="Verdana" w:cs="Verdana"/>
                <w:sz w:val="22"/>
                <w:szCs w:val="22"/>
              </w:rPr>
              <w:t>CNO</w:t>
            </w:r>
          </w:p>
        </w:tc>
        <w:tc>
          <w:tcPr>
            <w:tcW w:w="3402" w:type="dxa"/>
          </w:tcPr>
          <w:p w14:paraId="1D9450F3" w14:textId="472201B5" w:rsidR="0078364C" w:rsidRPr="00B22CCE" w:rsidRDefault="00EA40E9">
            <w:pPr>
              <w:autoSpaceDE w:val="0"/>
              <w:autoSpaceDN w:val="0"/>
              <w:adjustRightInd w:val="0"/>
              <w:jc w:val="both"/>
              <w:rPr>
                <w:rFonts w:ascii="Verdana" w:eastAsia="Verdana" w:hAnsi="Verdana" w:cs="Verdana"/>
                <w:sz w:val="22"/>
                <w:szCs w:val="22"/>
              </w:rPr>
            </w:pPr>
            <w:r w:rsidRPr="00B22CCE">
              <w:rPr>
                <w:rFonts w:ascii="Verdana" w:eastAsia="Verdana" w:hAnsi="Verdana" w:cs="Verdana"/>
                <w:sz w:val="22"/>
                <w:szCs w:val="22"/>
              </w:rPr>
              <w:t>Urrá</w:t>
            </w:r>
          </w:p>
        </w:tc>
      </w:tr>
      <w:tr w:rsidR="00D37117" w:rsidRPr="00B22CCE" w14:paraId="456122B1" w14:textId="77777777" w:rsidTr="00B22CCE">
        <w:trPr>
          <w:jc w:val="center"/>
        </w:trPr>
        <w:tc>
          <w:tcPr>
            <w:tcW w:w="4957" w:type="dxa"/>
          </w:tcPr>
          <w:p w14:paraId="2E819A68" w14:textId="609BA481" w:rsidR="0078364C" w:rsidRPr="00B22CCE" w:rsidRDefault="0078364C">
            <w:pPr>
              <w:autoSpaceDE w:val="0"/>
              <w:autoSpaceDN w:val="0"/>
              <w:adjustRightInd w:val="0"/>
              <w:jc w:val="both"/>
              <w:rPr>
                <w:rFonts w:ascii="Verdana" w:eastAsia="Verdana" w:hAnsi="Verdana" w:cs="Verdana"/>
                <w:sz w:val="20"/>
                <w:szCs w:val="20"/>
              </w:rPr>
            </w:pPr>
            <w:r w:rsidRPr="00B22CCE">
              <w:rPr>
                <w:rFonts w:ascii="Verdana" w:eastAsia="Verdana" w:hAnsi="Verdana" w:cs="Verdana"/>
                <w:sz w:val="20"/>
                <w:szCs w:val="20"/>
              </w:rPr>
              <w:t>Comité de Operación-CO</w:t>
            </w:r>
          </w:p>
        </w:tc>
        <w:tc>
          <w:tcPr>
            <w:tcW w:w="3402" w:type="dxa"/>
          </w:tcPr>
          <w:p w14:paraId="3D0D6179" w14:textId="7EA844D5" w:rsidR="0078364C" w:rsidRPr="00B22CCE" w:rsidRDefault="006915E5">
            <w:pPr>
              <w:autoSpaceDE w:val="0"/>
              <w:autoSpaceDN w:val="0"/>
              <w:adjustRightInd w:val="0"/>
              <w:jc w:val="both"/>
              <w:rPr>
                <w:rFonts w:ascii="Verdana" w:eastAsia="Verdana" w:hAnsi="Verdana" w:cs="Verdana"/>
                <w:sz w:val="20"/>
                <w:szCs w:val="20"/>
              </w:rPr>
            </w:pPr>
            <w:r w:rsidRPr="00B22CCE">
              <w:rPr>
                <w:rFonts w:ascii="Verdana" w:eastAsia="Verdana" w:hAnsi="Verdana" w:cs="Verdana"/>
                <w:sz w:val="20"/>
                <w:szCs w:val="20"/>
              </w:rPr>
              <w:t>Termonorte, Termoemcali, Compañía Eléctrica de Sochagota, L</w:t>
            </w:r>
            <w:r w:rsidR="00C53AF0" w:rsidRPr="00B22CCE">
              <w:rPr>
                <w:rFonts w:ascii="Verdana" w:eastAsia="Verdana" w:hAnsi="Verdana" w:cs="Verdana"/>
                <w:sz w:val="20"/>
                <w:szCs w:val="20"/>
              </w:rPr>
              <w:t>a Cascada</w:t>
            </w:r>
          </w:p>
        </w:tc>
      </w:tr>
      <w:tr w:rsidR="00D37117" w:rsidRPr="00B22CCE" w14:paraId="485863D2" w14:textId="77777777" w:rsidTr="00B22CCE">
        <w:trPr>
          <w:jc w:val="center"/>
        </w:trPr>
        <w:tc>
          <w:tcPr>
            <w:tcW w:w="4957" w:type="dxa"/>
          </w:tcPr>
          <w:p w14:paraId="1E6085FA" w14:textId="22FEB522" w:rsidR="0078364C" w:rsidRPr="00B22CCE" w:rsidRDefault="0078364C">
            <w:pPr>
              <w:autoSpaceDE w:val="0"/>
              <w:autoSpaceDN w:val="0"/>
              <w:adjustRightInd w:val="0"/>
              <w:jc w:val="both"/>
              <w:rPr>
                <w:rFonts w:ascii="Verdana" w:eastAsia="Verdana" w:hAnsi="Verdana" w:cs="Verdana"/>
                <w:sz w:val="20"/>
                <w:szCs w:val="20"/>
              </w:rPr>
            </w:pPr>
            <w:r w:rsidRPr="00B22CCE">
              <w:rPr>
                <w:rFonts w:ascii="Verdana" w:eastAsia="Verdana" w:hAnsi="Verdana" w:cs="Verdana"/>
                <w:sz w:val="20"/>
                <w:szCs w:val="20"/>
              </w:rPr>
              <w:t>Comité de Supervisión y Ciberseguridad</w:t>
            </w:r>
          </w:p>
        </w:tc>
        <w:tc>
          <w:tcPr>
            <w:tcW w:w="3402" w:type="dxa"/>
          </w:tcPr>
          <w:p w14:paraId="78008E1A" w14:textId="0258D77E" w:rsidR="0078364C" w:rsidRPr="00B22CCE" w:rsidRDefault="00C53AF0">
            <w:pPr>
              <w:autoSpaceDE w:val="0"/>
              <w:autoSpaceDN w:val="0"/>
              <w:adjustRightInd w:val="0"/>
              <w:jc w:val="both"/>
              <w:rPr>
                <w:rFonts w:ascii="Verdana" w:eastAsia="Verdana" w:hAnsi="Verdana" w:cs="Verdana"/>
                <w:sz w:val="20"/>
                <w:szCs w:val="20"/>
              </w:rPr>
            </w:pPr>
            <w:r w:rsidRPr="00B22CCE">
              <w:rPr>
                <w:rFonts w:ascii="Verdana" w:eastAsia="Verdana" w:hAnsi="Verdana" w:cs="Verdana"/>
                <w:sz w:val="20"/>
                <w:szCs w:val="20"/>
              </w:rPr>
              <w:t>La Cascada</w:t>
            </w:r>
          </w:p>
        </w:tc>
      </w:tr>
      <w:tr w:rsidR="00D37117" w:rsidRPr="00B22CCE" w14:paraId="67CE1F41" w14:textId="77777777" w:rsidTr="00B22CCE">
        <w:trPr>
          <w:jc w:val="center"/>
        </w:trPr>
        <w:tc>
          <w:tcPr>
            <w:tcW w:w="4957" w:type="dxa"/>
          </w:tcPr>
          <w:p w14:paraId="01FA4A2E" w14:textId="1865958B" w:rsidR="0078364C" w:rsidRPr="00B22CCE" w:rsidRDefault="00D37117">
            <w:pPr>
              <w:autoSpaceDE w:val="0"/>
              <w:autoSpaceDN w:val="0"/>
              <w:adjustRightInd w:val="0"/>
              <w:jc w:val="both"/>
              <w:rPr>
                <w:rFonts w:ascii="Verdana" w:eastAsia="Verdana" w:hAnsi="Verdana" w:cs="Verdana"/>
                <w:sz w:val="20"/>
                <w:szCs w:val="20"/>
              </w:rPr>
            </w:pPr>
            <w:r w:rsidRPr="00B22CCE">
              <w:rPr>
                <w:rFonts w:ascii="Verdana" w:eastAsia="Verdana" w:hAnsi="Verdana" w:cs="Verdana"/>
                <w:sz w:val="20"/>
                <w:szCs w:val="20"/>
              </w:rPr>
              <w:t>Subcomité de Análiss y Planeación Eléctrica-SAPE</w:t>
            </w:r>
          </w:p>
        </w:tc>
        <w:tc>
          <w:tcPr>
            <w:tcW w:w="3402" w:type="dxa"/>
          </w:tcPr>
          <w:p w14:paraId="79FC86D9" w14:textId="3B070836" w:rsidR="0078364C" w:rsidRPr="00B22CCE" w:rsidRDefault="006915E5">
            <w:pPr>
              <w:autoSpaceDE w:val="0"/>
              <w:autoSpaceDN w:val="0"/>
              <w:adjustRightInd w:val="0"/>
              <w:jc w:val="both"/>
              <w:rPr>
                <w:rFonts w:ascii="Verdana" w:eastAsia="Verdana" w:hAnsi="Verdana" w:cs="Verdana"/>
                <w:sz w:val="20"/>
                <w:szCs w:val="20"/>
              </w:rPr>
            </w:pPr>
            <w:r w:rsidRPr="00B22CCE">
              <w:rPr>
                <w:rFonts w:ascii="Verdana" w:eastAsia="Verdana" w:hAnsi="Verdana" w:cs="Verdana"/>
                <w:sz w:val="20"/>
                <w:szCs w:val="20"/>
              </w:rPr>
              <w:t>Termonorte</w:t>
            </w:r>
            <w:r w:rsidR="00595B59" w:rsidRPr="00B22CCE">
              <w:rPr>
                <w:rFonts w:ascii="Verdana" w:eastAsia="Verdana" w:hAnsi="Verdana" w:cs="Verdana"/>
                <w:sz w:val="20"/>
                <w:szCs w:val="20"/>
              </w:rPr>
              <w:t xml:space="preserve">, Termoemcali, </w:t>
            </w:r>
            <w:r w:rsidR="00595B59" w:rsidRPr="00B22CCE">
              <w:rPr>
                <w:rFonts w:ascii="Verdana" w:hAnsi="Verdana"/>
                <w:color w:val="222222"/>
                <w:sz w:val="20"/>
                <w:szCs w:val="20"/>
                <w:shd w:val="clear" w:color="auto" w:fill="FFFFFF"/>
              </w:rPr>
              <w:t>ENEL Green Power</w:t>
            </w:r>
          </w:p>
        </w:tc>
      </w:tr>
      <w:tr w:rsidR="00D37117" w:rsidRPr="00B22CCE" w14:paraId="493C89AE" w14:textId="77777777" w:rsidTr="00B22CCE">
        <w:trPr>
          <w:jc w:val="center"/>
        </w:trPr>
        <w:tc>
          <w:tcPr>
            <w:tcW w:w="4957" w:type="dxa"/>
          </w:tcPr>
          <w:p w14:paraId="6991EB16" w14:textId="255C5310" w:rsidR="0078364C" w:rsidRPr="00B22CCE" w:rsidRDefault="00D37117">
            <w:pPr>
              <w:autoSpaceDE w:val="0"/>
              <w:autoSpaceDN w:val="0"/>
              <w:adjustRightInd w:val="0"/>
              <w:jc w:val="both"/>
              <w:rPr>
                <w:rFonts w:ascii="Verdana" w:eastAsia="Verdana" w:hAnsi="Verdana" w:cs="Verdana"/>
                <w:sz w:val="20"/>
                <w:szCs w:val="20"/>
              </w:rPr>
            </w:pPr>
            <w:r w:rsidRPr="00B22CCE">
              <w:rPr>
                <w:rFonts w:ascii="Verdana" w:eastAsia="Verdana" w:hAnsi="Verdana" w:cs="Verdana"/>
                <w:sz w:val="20"/>
                <w:szCs w:val="20"/>
              </w:rPr>
              <w:t>Subcomité de Planeamiento Operativo-SPO</w:t>
            </w:r>
          </w:p>
        </w:tc>
        <w:tc>
          <w:tcPr>
            <w:tcW w:w="3402" w:type="dxa"/>
          </w:tcPr>
          <w:p w14:paraId="353701E2" w14:textId="77777777" w:rsidR="006915E5" w:rsidRPr="00B22CCE" w:rsidRDefault="006915E5" w:rsidP="00B22CCE">
            <w:pPr>
              <w:jc w:val="both"/>
              <w:rPr>
                <w:sz w:val="20"/>
                <w:szCs w:val="20"/>
              </w:rPr>
            </w:pPr>
            <w:r w:rsidRPr="00B22CCE">
              <w:rPr>
                <w:rFonts w:ascii="Verdana" w:eastAsia="Verdana" w:hAnsi="Verdana" w:cs="Verdana"/>
                <w:sz w:val="20"/>
                <w:szCs w:val="20"/>
              </w:rPr>
              <w:t xml:space="preserve">Termonorte, </w:t>
            </w:r>
            <w:r w:rsidRPr="00B22CCE">
              <w:rPr>
                <w:rFonts w:ascii="Verdana" w:hAnsi="Verdana"/>
                <w:color w:val="222222"/>
                <w:sz w:val="20"/>
                <w:szCs w:val="20"/>
                <w:shd w:val="clear" w:color="auto" w:fill="FFFFFF"/>
              </w:rPr>
              <w:t>Compañía Eléctrica de Sochagota</w:t>
            </w:r>
          </w:p>
          <w:p w14:paraId="1DF4891B" w14:textId="1A501B50" w:rsidR="0078364C" w:rsidRPr="00B22CCE" w:rsidRDefault="0078364C">
            <w:pPr>
              <w:autoSpaceDE w:val="0"/>
              <w:autoSpaceDN w:val="0"/>
              <w:adjustRightInd w:val="0"/>
              <w:jc w:val="both"/>
              <w:rPr>
                <w:rFonts w:ascii="Verdana" w:eastAsia="Verdana" w:hAnsi="Verdana" w:cs="Verdana"/>
                <w:sz w:val="20"/>
                <w:szCs w:val="20"/>
              </w:rPr>
            </w:pPr>
          </w:p>
        </w:tc>
      </w:tr>
      <w:tr w:rsidR="00D37117" w:rsidRPr="00B22CCE" w14:paraId="4C317D2B" w14:textId="77777777" w:rsidTr="00B22CCE">
        <w:trPr>
          <w:jc w:val="center"/>
        </w:trPr>
        <w:tc>
          <w:tcPr>
            <w:tcW w:w="4957" w:type="dxa"/>
          </w:tcPr>
          <w:p w14:paraId="3B57F497" w14:textId="071BFA96" w:rsidR="00D37117" w:rsidRPr="00B22CCE" w:rsidRDefault="00D37117">
            <w:pPr>
              <w:autoSpaceDE w:val="0"/>
              <w:autoSpaceDN w:val="0"/>
              <w:adjustRightInd w:val="0"/>
              <w:jc w:val="both"/>
              <w:rPr>
                <w:rFonts w:ascii="Verdana" w:eastAsia="Verdana" w:hAnsi="Verdana" w:cs="Verdana"/>
                <w:sz w:val="20"/>
                <w:szCs w:val="20"/>
              </w:rPr>
            </w:pPr>
            <w:r w:rsidRPr="00B22CCE">
              <w:rPr>
                <w:rFonts w:ascii="Verdana" w:eastAsia="Verdana" w:hAnsi="Verdana" w:cs="Verdana"/>
                <w:sz w:val="20"/>
                <w:szCs w:val="20"/>
              </w:rPr>
              <w:t>Subcomité de Recursos Energéticos-Renovables-SURER</w:t>
            </w:r>
          </w:p>
        </w:tc>
        <w:tc>
          <w:tcPr>
            <w:tcW w:w="3402" w:type="dxa"/>
          </w:tcPr>
          <w:p w14:paraId="384F104F" w14:textId="128D34F7" w:rsidR="00D37117" w:rsidRPr="00B22CCE" w:rsidRDefault="003740A7">
            <w:pPr>
              <w:autoSpaceDE w:val="0"/>
              <w:autoSpaceDN w:val="0"/>
              <w:adjustRightInd w:val="0"/>
              <w:jc w:val="both"/>
              <w:rPr>
                <w:rFonts w:ascii="Verdana" w:eastAsia="Verdana" w:hAnsi="Verdana" w:cs="Verdana"/>
                <w:sz w:val="20"/>
                <w:szCs w:val="20"/>
              </w:rPr>
            </w:pPr>
            <w:r w:rsidRPr="00B22CCE">
              <w:rPr>
                <w:rFonts w:ascii="Verdana" w:hAnsi="Verdana"/>
                <w:color w:val="222222"/>
                <w:sz w:val="20"/>
                <w:szCs w:val="20"/>
                <w:shd w:val="clear" w:color="auto" w:fill="FFFFFF"/>
              </w:rPr>
              <w:t xml:space="preserve">Urrá, </w:t>
            </w:r>
            <w:r w:rsidR="00595B59" w:rsidRPr="00B22CCE">
              <w:rPr>
                <w:rFonts w:ascii="Verdana" w:hAnsi="Verdana"/>
                <w:color w:val="222222"/>
                <w:sz w:val="20"/>
                <w:szCs w:val="20"/>
                <w:shd w:val="clear" w:color="auto" w:fill="FFFFFF"/>
              </w:rPr>
              <w:t>ENEL Green Power</w:t>
            </w:r>
            <w:r w:rsidR="00C53AF0" w:rsidRPr="00B22CCE">
              <w:rPr>
                <w:rFonts w:ascii="Verdana" w:hAnsi="Verdana"/>
                <w:color w:val="222222"/>
                <w:sz w:val="20"/>
                <w:szCs w:val="20"/>
                <w:shd w:val="clear" w:color="auto" w:fill="FFFFFF"/>
              </w:rPr>
              <w:t xml:space="preserve">, </w:t>
            </w:r>
            <w:r w:rsidR="00C53AF0" w:rsidRPr="00B22CCE">
              <w:rPr>
                <w:rFonts w:ascii="Verdana" w:eastAsia="Verdana" w:hAnsi="Verdana" w:cs="Verdana"/>
                <w:sz w:val="20"/>
                <w:szCs w:val="20"/>
              </w:rPr>
              <w:t>La Cascada</w:t>
            </w:r>
          </w:p>
        </w:tc>
      </w:tr>
      <w:tr w:rsidR="00D37117" w:rsidRPr="00B22CCE" w14:paraId="6F6A69D7" w14:textId="77777777" w:rsidTr="00B22CCE">
        <w:trPr>
          <w:jc w:val="center"/>
        </w:trPr>
        <w:tc>
          <w:tcPr>
            <w:tcW w:w="4957" w:type="dxa"/>
          </w:tcPr>
          <w:p w14:paraId="54E4752C" w14:textId="3CAB62E6" w:rsidR="00D37117" w:rsidRPr="00B22CCE" w:rsidRDefault="00D37117">
            <w:pPr>
              <w:autoSpaceDE w:val="0"/>
              <w:autoSpaceDN w:val="0"/>
              <w:adjustRightInd w:val="0"/>
              <w:jc w:val="both"/>
              <w:rPr>
                <w:rFonts w:ascii="Verdana" w:eastAsia="Verdana" w:hAnsi="Verdana" w:cs="Verdana"/>
                <w:sz w:val="20"/>
                <w:szCs w:val="20"/>
              </w:rPr>
            </w:pPr>
            <w:r w:rsidRPr="00B22CCE">
              <w:rPr>
                <w:rFonts w:ascii="Verdana" w:eastAsia="Verdana" w:hAnsi="Verdana" w:cs="Verdana"/>
                <w:sz w:val="20"/>
                <w:szCs w:val="20"/>
              </w:rPr>
              <w:t>Subcomité de Plantas-SP</w:t>
            </w:r>
          </w:p>
        </w:tc>
        <w:tc>
          <w:tcPr>
            <w:tcW w:w="3402" w:type="dxa"/>
          </w:tcPr>
          <w:p w14:paraId="5B6FE9D5" w14:textId="49E4252C" w:rsidR="00D37117" w:rsidRPr="00B22CCE" w:rsidRDefault="003740A7" w:rsidP="00B22CCE">
            <w:pPr>
              <w:jc w:val="both"/>
              <w:rPr>
                <w:sz w:val="20"/>
                <w:szCs w:val="20"/>
              </w:rPr>
            </w:pPr>
            <w:r w:rsidRPr="00B22CCE">
              <w:rPr>
                <w:rFonts w:ascii="Verdana" w:eastAsia="Verdana" w:hAnsi="Verdana" w:cs="Verdana"/>
                <w:sz w:val="20"/>
                <w:szCs w:val="20"/>
              </w:rPr>
              <w:t xml:space="preserve">Urrá, </w:t>
            </w:r>
            <w:r w:rsidR="006915E5" w:rsidRPr="00B22CCE">
              <w:rPr>
                <w:rFonts w:ascii="Verdana" w:eastAsia="Verdana" w:hAnsi="Verdana" w:cs="Verdana"/>
                <w:sz w:val="20"/>
                <w:szCs w:val="20"/>
              </w:rPr>
              <w:t>Termonorte, Termoemcali</w:t>
            </w:r>
            <w:r w:rsidR="006915E5" w:rsidRPr="00B22CCE">
              <w:rPr>
                <w:rFonts w:ascii="Verdana" w:hAnsi="Verdana"/>
                <w:color w:val="222222"/>
                <w:sz w:val="20"/>
                <w:szCs w:val="20"/>
                <w:shd w:val="clear" w:color="auto" w:fill="FFFFFF"/>
              </w:rPr>
              <w:t xml:space="preserve"> Compañía Eléctrica de Sochagota, Gensa</w:t>
            </w:r>
            <w:r w:rsidR="00595B59" w:rsidRPr="00B22CCE">
              <w:rPr>
                <w:rFonts w:ascii="Verdana" w:hAnsi="Verdana"/>
                <w:color w:val="222222"/>
                <w:sz w:val="20"/>
                <w:szCs w:val="20"/>
                <w:shd w:val="clear" w:color="auto" w:fill="FFFFFF"/>
              </w:rPr>
              <w:t>, ENEL Green Power</w:t>
            </w:r>
            <w:r w:rsidR="00C53AF0" w:rsidRPr="00B22CCE">
              <w:rPr>
                <w:rFonts w:ascii="Verdana" w:hAnsi="Verdana"/>
                <w:color w:val="222222"/>
                <w:sz w:val="20"/>
                <w:szCs w:val="20"/>
                <w:shd w:val="clear" w:color="auto" w:fill="FFFFFF"/>
              </w:rPr>
              <w:t xml:space="preserve">, </w:t>
            </w:r>
            <w:r w:rsidR="00C53AF0" w:rsidRPr="00B22CCE">
              <w:rPr>
                <w:rFonts w:ascii="Verdana" w:eastAsia="Verdana" w:hAnsi="Verdana" w:cs="Verdana"/>
                <w:sz w:val="20"/>
                <w:szCs w:val="20"/>
              </w:rPr>
              <w:t>La Cascada</w:t>
            </w:r>
          </w:p>
        </w:tc>
      </w:tr>
      <w:tr w:rsidR="00D37117" w:rsidRPr="00B22CCE" w14:paraId="41EA5D8D" w14:textId="77777777" w:rsidTr="00B22CCE">
        <w:trPr>
          <w:jc w:val="center"/>
        </w:trPr>
        <w:tc>
          <w:tcPr>
            <w:tcW w:w="4957" w:type="dxa"/>
          </w:tcPr>
          <w:p w14:paraId="606B58A9" w14:textId="60B3DAFD" w:rsidR="00D37117" w:rsidRPr="00B22CCE" w:rsidRDefault="00D37117">
            <w:pPr>
              <w:autoSpaceDE w:val="0"/>
              <w:autoSpaceDN w:val="0"/>
              <w:adjustRightInd w:val="0"/>
              <w:jc w:val="both"/>
              <w:rPr>
                <w:rFonts w:ascii="Verdana" w:eastAsia="Verdana" w:hAnsi="Verdana" w:cs="Verdana"/>
                <w:sz w:val="20"/>
                <w:szCs w:val="20"/>
              </w:rPr>
            </w:pPr>
            <w:r w:rsidRPr="00B22CCE">
              <w:rPr>
                <w:rFonts w:ascii="Verdana" w:eastAsia="Verdana" w:hAnsi="Verdana" w:cs="Verdana"/>
                <w:sz w:val="20"/>
                <w:szCs w:val="20"/>
              </w:rPr>
              <w:t>Subcomité de Controles-SCont</w:t>
            </w:r>
          </w:p>
        </w:tc>
        <w:tc>
          <w:tcPr>
            <w:tcW w:w="3402" w:type="dxa"/>
          </w:tcPr>
          <w:p w14:paraId="11353978" w14:textId="1274C297" w:rsidR="00D37117" w:rsidRPr="00B22CCE" w:rsidRDefault="003740A7">
            <w:pPr>
              <w:autoSpaceDE w:val="0"/>
              <w:autoSpaceDN w:val="0"/>
              <w:adjustRightInd w:val="0"/>
              <w:jc w:val="both"/>
              <w:rPr>
                <w:rFonts w:ascii="Verdana" w:eastAsia="Verdana" w:hAnsi="Verdana" w:cs="Verdana"/>
                <w:sz w:val="20"/>
                <w:szCs w:val="20"/>
              </w:rPr>
            </w:pPr>
            <w:r w:rsidRPr="00B22CCE">
              <w:rPr>
                <w:rFonts w:ascii="Verdana" w:eastAsia="Verdana" w:hAnsi="Verdana" w:cs="Verdana"/>
                <w:sz w:val="20"/>
                <w:szCs w:val="20"/>
              </w:rPr>
              <w:t xml:space="preserve">Urrá, </w:t>
            </w:r>
            <w:r w:rsidR="006915E5" w:rsidRPr="00B22CCE">
              <w:rPr>
                <w:rFonts w:ascii="Verdana" w:eastAsia="Verdana" w:hAnsi="Verdana" w:cs="Verdana"/>
                <w:sz w:val="20"/>
                <w:szCs w:val="20"/>
              </w:rPr>
              <w:t>Termoemcali</w:t>
            </w:r>
            <w:r w:rsidR="00595B59" w:rsidRPr="00B22CCE">
              <w:rPr>
                <w:rFonts w:ascii="Verdana" w:eastAsia="Verdana" w:hAnsi="Verdana" w:cs="Verdana"/>
                <w:sz w:val="20"/>
                <w:szCs w:val="20"/>
              </w:rPr>
              <w:t xml:space="preserve">, </w:t>
            </w:r>
            <w:r w:rsidR="00595B59" w:rsidRPr="00B22CCE">
              <w:rPr>
                <w:rFonts w:ascii="Verdana" w:hAnsi="Verdana"/>
                <w:color w:val="222222"/>
                <w:sz w:val="20"/>
                <w:szCs w:val="20"/>
                <w:shd w:val="clear" w:color="auto" w:fill="FFFFFF"/>
              </w:rPr>
              <w:t>ENEL Green Power</w:t>
            </w:r>
            <w:r w:rsidR="00C53AF0" w:rsidRPr="00B22CCE">
              <w:rPr>
                <w:rFonts w:ascii="Verdana" w:hAnsi="Verdana"/>
                <w:color w:val="222222"/>
                <w:sz w:val="20"/>
                <w:szCs w:val="20"/>
                <w:shd w:val="clear" w:color="auto" w:fill="FFFFFF"/>
              </w:rPr>
              <w:t xml:space="preserve">, </w:t>
            </w:r>
            <w:r w:rsidR="00C53AF0" w:rsidRPr="00B22CCE">
              <w:rPr>
                <w:rFonts w:ascii="Verdana" w:eastAsia="Verdana" w:hAnsi="Verdana" w:cs="Verdana"/>
                <w:sz w:val="20"/>
                <w:szCs w:val="20"/>
              </w:rPr>
              <w:t>La Cascada</w:t>
            </w:r>
          </w:p>
        </w:tc>
      </w:tr>
      <w:tr w:rsidR="00D37117" w:rsidRPr="00D3052A" w14:paraId="005314D0" w14:textId="77777777" w:rsidTr="00B22CCE">
        <w:trPr>
          <w:jc w:val="center"/>
        </w:trPr>
        <w:tc>
          <w:tcPr>
            <w:tcW w:w="4957" w:type="dxa"/>
          </w:tcPr>
          <w:p w14:paraId="71D5FE4F" w14:textId="059E18B9" w:rsidR="00D37117" w:rsidRPr="00B22CCE" w:rsidRDefault="00D37117">
            <w:pPr>
              <w:autoSpaceDE w:val="0"/>
              <w:autoSpaceDN w:val="0"/>
              <w:adjustRightInd w:val="0"/>
              <w:jc w:val="both"/>
              <w:rPr>
                <w:rFonts w:ascii="Verdana" w:eastAsia="Verdana" w:hAnsi="Verdana" w:cs="Verdana"/>
                <w:sz w:val="20"/>
                <w:szCs w:val="20"/>
              </w:rPr>
            </w:pPr>
            <w:r w:rsidRPr="00B22CCE">
              <w:rPr>
                <w:rFonts w:ascii="Verdana" w:eastAsia="Verdana" w:hAnsi="Verdana" w:cs="Verdana"/>
                <w:sz w:val="20"/>
                <w:szCs w:val="20"/>
              </w:rPr>
              <w:t>Subcomité de Protecciones-SProt</w:t>
            </w:r>
          </w:p>
        </w:tc>
        <w:tc>
          <w:tcPr>
            <w:tcW w:w="3402" w:type="dxa"/>
          </w:tcPr>
          <w:p w14:paraId="398A0E4B" w14:textId="6F03FBD9" w:rsidR="00D37117" w:rsidRPr="00B22CCE" w:rsidRDefault="00595B59">
            <w:pPr>
              <w:autoSpaceDE w:val="0"/>
              <w:autoSpaceDN w:val="0"/>
              <w:adjustRightInd w:val="0"/>
              <w:jc w:val="both"/>
              <w:rPr>
                <w:rFonts w:ascii="Verdana" w:eastAsia="Verdana" w:hAnsi="Verdana" w:cs="Verdana"/>
                <w:sz w:val="20"/>
                <w:szCs w:val="20"/>
              </w:rPr>
            </w:pPr>
            <w:r w:rsidRPr="00B22CCE">
              <w:rPr>
                <w:rFonts w:ascii="Verdana" w:hAnsi="Verdana"/>
                <w:color w:val="222222"/>
                <w:sz w:val="20"/>
                <w:szCs w:val="20"/>
                <w:shd w:val="clear" w:color="auto" w:fill="FFFFFF"/>
              </w:rPr>
              <w:t>ENEL Green Power</w:t>
            </w:r>
            <w:r w:rsidR="00C53AF0" w:rsidRPr="00B22CCE">
              <w:rPr>
                <w:rFonts w:ascii="Verdana" w:hAnsi="Verdana"/>
                <w:color w:val="222222"/>
                <w:sz w:val="20"/>
                <w:szCs w:val="20"/>
                <w:shd w:val="clear" w:color="auto" w:fill="FFFFFF"/>
              </w:rPr>
              <w:t xml:space="preserve">, </w:t>
            </w:r>
            <w:r w:rsidR="00C53AF0" w:rsidRPr="00B22CCE">
              <w:rPr>
                <w:rFonts w:ascii="Verdana" w:eastAsia="Verdana" w:hAnsi="Verdana" w:cs="Verdana"/>
                <w:sz w:val="20"/>
                <w:szCs w:val="20"/>
              </w:rPr>
              <w:t>La Cascada</w:t>
            </w:r>
          </w:p>
        </w:tc>
      </w:tr>
    </w:tbl>
    <w:p w14:paraId="5D914E51" w14:textId="0989FA4B" w:rsidR="009F79B5" w:rsidRDefault="009F79B5">
      <w:pPr>
        <w:autoSpaceDE w:val="0"/>
        <w:autoSpaceDN w:val="0"/>
        <w:adjustRightInd w:val="0"/>
        <w:jc w:val="both"/>
        <w:rPr>
          <w:rFonts w:ascii="Verdana" w:eastAsia="Verdana" w:hAnsi="Verdana" w:cs="Verdana"/>
          <w:sz w:val="22"/>
          <w:szCs w:val="22"/>
        </w:rPr>
      </w:pPr>
    </w:p>
    <w:p w14:paraId="0D53BAEF" w14:textId="0DC14794" w:rsidR="003740A7" w:rsidRPr="00D3052A" w:rsidRDefault="003740A7">
      <w:pPr>
        <w:autoSpaceDE w:val="0"/>
        <w:autoSpaceDN w:val="0"/>
        <w:adjustRightInd w:val="0"/>
        <w:jc w:val="both"/>
        <w:rPr>
          <w:rFonts w:ascii="Verdana" w:eastAsia="Verdana" w:hAnsi="Verdana" w:cs="Verdana"/>
          <w:sz w:val="22"/>
          <w:szCs w:val="22"/>
        </w:rPr>
      </w:pPr>
      <w:r>
        <w:rPr>
          <w:rFonts w:ascii="Verdana" w:eastAsia="Verdana" w:hAnsi="Verdana" w:cs="Verdana"/>
          <w:sz w:val="22"/>
          <w:szCs w:val="22"/>
        </w:rPr>
        <w:t xml:space="preserve">De acuerdo con lo previsto en el Reglamento Interno, hay </w:t>
      </w:r>
      <w:r w:rsidR="00EA40E9">
        <w:rPr>
          <w:rFonts w:ascii="Verdana" w:eastAsia="Verdana" w:hAnsi="Verdana" w:cs="Verdana"/>
          <w:sz w:val="22"/>
          <w:szCs w:val="22"/>
        </w:rPr>
        <w:t>3</w:t>
      </w:r>
      <w:r>
        <w:rPr>
          <w:rFonts w:ascii="Verdana" w:eastAsia="Verdana" w:hAnsi="Verdana" w:cs="Verdana"/>
          <w:sz w:val="22"/>
          <w:szCs w:val="22"/>
        </w:rPr>
        <w:t xml:space="preserve"> cupos para que asistan como invitados a las reuniones del Consejo, representantes de las empresas de generación, transmisión y distribución, que estén registradas como agentes del mercado ante el ASIC.</w:t>
      </w:r>
    </w:p>
    <w:p w14:paraId="1D53109A" w14:textId="77777777" w:rsidR="009F79B5" w:rsidRPr="00D3052A" w:rsidRDefault="009F79B5">
      <w:pPr>
        <w:autoSpaceDE w:val="0"/>
        <w:autoSpaceDN w:val="0"/>
        <w:adjustRightInd w:val="0"/>
        <w:jc w:val="both"/>
        <w:rPr>
          <w:rFonts w:ascii="Verdana" w:eastAsia="Verdana" w:hAnsi="Verdana" w:cs="Verdana"/>
          <w:sz w:val="22"/>
          <w:szCs w:val="22"/>
        </w:rPr>
      </w:pPr>
    </w:p>
    <w:p w14:paraId="5629E132" w14:textId="562DDB85" w:rsidR="0060078E" w:rsidRDefault="0060078E">
      <w:pPr>
        <w:pStyle w:val="Prrafodelista"/>
        <w:numPr>
          <w:ilvl w:val="0"/>
          <w:numId w:val="35"/>
        </w:numPr>
        <w:autoSpaceDE w:val="0"/>
        <w:autoSpaceDN w:val="0"/>
        <w:adjustRightInd w:val="0"/>
        <w:jc w:val="both"/>
        <w:rPr>
          <w:rFonts w:ascii="Verdana" w:eastAsia="Verdana" w:hAnsi="Verdana" w:cs="Verdana"/>
          <w:sz w:val="22"/>
          <w:szCs w:val="22"/>
        </w:rPr>
      </w:pPr>
      <w:r w:rsidRPr="00D3052A">
        <w:rPr>
          <w:rFonts w:ascii="Verdana" w:eastAsia="Verdana" w:hAnsi="Verdana" w:cs="Verdana"/>
          <w:sz w:val="22"/>
          <w:szCs w:val="22"/>
        </w:rPr>
        <w:t>En las reuniones de</w:t>
      </w:r>
      <w:r w:rsidR="00A822D1" w:rsidRPr="00D3052A">
        <w:rPr>
          <w:rFonts w:ascii="Verdana" w:eastAsia="Verdana" w:hAnsi="Verdana" w:cs="Verdana"/>
          <w:sz w:val="22"/>
          <w:szCs w:val="22"/>
        </w:rPr>
        <w:t xml:space="preserve"> los </w:t>
      </w:r>
      <w:r w:rsidR="00D37117" w:rsidRPr="00D3052A">
        <w:rPr>
          <w:rFonts w:ascii="Verdana" w:eastAsia="Verdana" w:hAnsi="Verdana" w:cs="Verdana"/>
          <w:sz w:val="22"/>
          <w:szCs w:val="22"/>
        </w:rPr>
        <w:t>S</w:t>
      </w:r>
      <w:r w:rsidRPr="00D3052A">
        <w:rPr>
          <w:rFonts w:ascii="Verdana" w:eastAsia="Verdana" w:hAnsi="Verdana" w:cs="Verdana"/>
          <w:sz w:val="22"/>
          <w:szCs w:val="22"/>
        </w:rPr>
        <w:t xml:space="preserve">ubcomités y </w:t>
      </w:r>
      <w:r w:rsidR="00D37117" w:rsidRPr="00D3052A">
        <w:rPr>
          <w:rFonts w:ascii="Verdana" w:eastAsia="Verdana" w:hAnsi="Verdana" w:cs="Verdana"/>
          <w:sz w:val="22"/>
          <w:szCs w:val="22"/>
        </w:rPr>
        <w:t>C</w:t>
      </w:r>
      <w:r w:rsidRPr="00D3052A">
        <w:rPr>
          <w:rFonts w:ascii="Verdana" w:eastAsia="Verdana" w:hAnsi="Verdana" w:cs="Verdana"/>
          <w:sz w:val="22"/>
          <w:szCs w:val="22"/>
        </w:rPr>
        <w:t xml:space="preserve">omités del mes de enero se </w:t>
      </w:r>
      <w:r w:rsidR="00E94436">
        <w:rPr>
          <w:rFonts w:ascii="Verdana" w:eastAsia="Verdana" w:hAnsi="Verdana" w:cs="Verdana"/>
          <w:sz w:val="22"/>
          <w:szCs w:val="22"/>
        </w:rPr>
        <w:t>l</w:t>
      </w:r>
      <w:r w:rsidR="00D37117" w:rsidRPr="00D3052A">
        <w:rPr>
          <w:rFonts w:ascii="Verdana" w:eastAsia="Verdana" w:hAnsi="Verdana" w:cs="Verdana"/>
          <w:sz w:val="22"/>
          <w:szCs w:val="22"/>
        </w:rPr>
        <w:t>lev</w:t>
      </w:r>
      <w:r w:rsidR="00E94436">
        <w:rPr>
          <w:rFonts w:ascii="Verdana" w:eastAsia="Verdana" w:hAnsi="Verdana" w:cs="Verdana"/>
          <w:sz w:val="22"/>
          <w:szCs w:val="22"/>
        </w:rPr>
        <w:t>ó</w:t>
      </w:r>
      <w:r w:rsidR="00D37117" w:rsidRPr="00D3052A">
        <w:rPr>
          <w:rFonts w:ascii="Verdana" w:eastAsia="Verdana" w:hAnsi="Verdana" w:cs="Verdana"/>
          <w:sz w:val="22"/>
          <w:szCs w:val="22"/>
        </w:rPr>
        <w:t xml:space="preserve"> a cabo </w:t>
      </w:r>
      <w:r w:rsidRPr="00D3052A">
        <w:rPr>
          <w:rFonts w:ascii="Verdana" w:eastAsia="Verdana" w:hAnsi="Verdana" w:cs="Verdana"/>
          <w:sz w:val="22"/>
          <w:szCs w:val="22"/>
        </w:rPr>
        <w:t>la inducción</w:t>
      </w:r>
      <w:r w:rsidR="00D37117" w:rsidRPr="00D3052A">
        <w:rPr>
          <w:rFonts w:ascii="Verdana" w:eastAsia="Verdana" w:hAnsi="Verdana" w:cs="Verdana"/>
          <w:sz w:val="22"/>
          <w:szCs w:val="22"/>
        </w:rPr>
        <w:t xml:space="preserve"> del Consejo</w:t>
      </w:r>
      <w:r w:rsidRPr="00D3052A">
        <w:rPr>
          <w:rFonts w:ascii="Verdana" w:eastAsia="Verdana" w:hAnsi="Verdana" w:cs="Verdana"/>
          <w:sz w:val="22"/>
          <w:szCs w:val="22"/>
        </w:rPr>
        <w:t xml:space="preserve">, un ejercicio de autoevaluación y </w:t>
      </w:r>
      <w:r w:rsidR="00D37117" w:rsidRPr="00D3052A">
        <w:rPr>
          <w:rFonts w:ascii="Verdana" w:eastAsia="Verdana" w:hAnsi="Verdana" w:cs="Verdana"/>
          <w:sz w:val="22"/>
          <w:szCs w:val="22"/>
        </w:rPr>
        <w:t>la</w:t>
      </w:r>
      <w:r w:rsidRPr="00D3052A">
        <w:rPr>
          <w:rFonts w:ascii="Verdana" w:eastAsia="Verdana" w:hAnsi="Verdana" w:cs="Verdana"/>
          <w:sz w:val="22"/>
          <w:szCs w:val="22"/>
        </w:rPr>
        <w:t xml:space="preserve"> formula</w:t>
      </w:r>
      <w:r w:rsidR="00D37117" w:rsidRPr="00D3052A">
        <w:rPr>
          <w:rFonts w:ascii="Verdana" w:eastAsia="Verdana" w:hAnsi="Verdana" w:cs="Verdana"/>
          <w:sz w:val="22"/>
          <w:szCs w:val="22"/>
        </w:rPr>
        <w:t>ción</w:t>
      </w:r>
      <w:r w:rsidRPr="00D3052A">
        <w:rPr>
          <w:rFonts w:ascii="Verdana" w:eastAsia="Verdana" w:hAnsi="Verdana" w:cs="Verdana"/>
          <w:sz w:val="22"/>
          <w:szCs w:val="22"/>
        </w:rPr>
        <w:t xml:space="preserve"> </w:t>
      </w:r>
      <w:r w:rsidR="00D37117" w:rsidRPr="00D3052A">
        <w:rPr>
          <w:rFonts w:ascii="Verdana" w:eastAsia="Verdana" w:hAnsi="Verdana" w:cs="Verdana"/>
          <w:sz w:val="22"/>
          <w:szCs w:val="22"/>
        </w:rPr>
        <w:t>d</w:t>
      </w:r>
      <w:r w:rsidRPr="00D3052A">
        <w:rPr>
          <w:rFonts w:ascii="Verdana" w:eastAsia="Verdana" w:hAnsi="Verdana" w:cs="Verdana"/>
          <w:sz w:val="22"/>
          <w:szCs w:val="22"/>
        </w:rPr>
        <w:t>el Plan Operativo del año 2020.</w:t>
      </w:r>
      <w:r w:rsidR="009F79B5" w:rsidRPr="00D3052A">
        <w:rPr>
          <w:rFonts w:ascii="Verdana" w:eastAsia="Verdana" w:hAnsi="Verdana" w:cs="Verdana"/>
          <w:sz w:val="22"/>
          <w:szCs w:val="22"/>
        </w:rPr>
        <w:t xml:space="preserve"> </w:t>
      </w:r>
      <w:r w:rsidR="00D37117" w:rsidRPr="00D3052A">
        <w:rPr>
          <w:rFonts w:ascii="Verdana" w:eastAsia="Verdana" w:hAnsi="Verdana" w:cs="Verdana"/>
          <w:sz w:val="22"/>
          <w:szCs w:val="22"/>
        </w:rPr>
        <w:t>Se program</w:t>
      </w:r>
      <w:r w:rsidR="003740A7">
        <w:rPr>
          <w:rFonts w:ascii="Verdana" w:eastAsia="Verdana" w:hAnsi="Verdana" w:cs="Verdana"/>
          <w:sz w:val="22"/>
          <w:szCs w:val="22"/>
        </w:rPr>
        <w:t>ó</w:t>
      </w:r>
      <w:r w:rsidR="00D37117" w:rsidRPr="00D3052A">
        <w:rPr>
          <w:rFonts w:ascii="Verdana" w:eastAsia="Verdana" w:hAnsi="Verdana" w:cs="Verdana"/>
          <w:sz w:val="22"/>
          <w:szCs w:val="22"/>
        </w:rPr>
        <w:t xml:space="preserve"> para e</w:t>
      </w:r>
      <w:r w:rsidR="00BB4D96" w:rsidRPr="00D3052A">
        <w:rPr>
          <w:rFonts w:ascii="Verdana" w:eastAsia="Verdana" w:hAnsi="Verdana" w:cs="Verdana"/>
          <w:sz w:val="22"/>
          <w:szCs w:val="22"/>
        </w:rPr>
        <w:t>l viernes</w:t>
      </w:r>
      <w:r w:rsidR="004B2B5D" w:rsidRPr="00D3052A">
        <w:rPr>
          <w:rFonts w:ascii="Verdana" w:eastAsia="Verdana" w:hAnsi="Verdana" w:cs="Verdana"/>
          <w:sz w:val="22"/>
          <w:szCs w:val="22"/>
        </w:rPr>
        <w:t xml:space="preserve"> </w:t>
      </w:r>
      <w:r w:rsidR="00D37117" w:rsidRPr="00D3052A">
        <w:rPr>
          <w:rFonts w:ascii="Verdana" w:eastAsia="Verdana" w:hAnsi="Verdana" w:cs="Verdana"/>
          <w:sz w:val="22"/>
          <w:szCs w:val="22"/>
        </w:rPr>
        <w:t>siete (</w:t>
      </w:r>
      <w:r w:rsidR="004B2B5D" w:rsidRPr="00D3052A">
        <w:rPr>
          <w:rFonts w:ascii="Verdana" w:eastAsia="Verdana" w:hAnsi="Verdana" w:cs="Verdana"/>
          <w:sz w:val="22"/>
          <w:szCs w:val="22"/>
        </w:rPr>
        <w:t>7</w:t>
      </w:r>
      <w:r w:rsidR="00D37117" w:rsidRPr="00D3052A">
        <w:rPr>
          <w:rFonts w:ascii="Verdana" w:eastAsia="Verdana" w:hAnsi="Verdana" w:cs="Verdana"/>
          <w:sz w:val="22"/>
          <w:szCs w:val="22"/>
        </w:rPr>
        <w:t>)</w:t>
      </w:r>
      <w:r w:rsidR="004B2B5D" w:rsidRPr="00D3052A">
        <w:rPr>
          <w:rFonts w:ascii="Verdana" w:eastAsia="Verdana" w:hAnsi="Verdana" w:cs="Verdana"/>
          <w:sz w:val="22"/>
          <w:szCs w:val="22"/>
        </w:rPr>
        <w:t xml:space="preserve"> de febrero </w:t>
      </w:r>
      <w:r w:rsidR="00D37117" w:rsidRPr="00D3052A">
        <w:rPr>
          <w:rFonts w:ascii="Verdana" w:eastAsia="Verdana" w:hAnsi="Verdana" w:cs="Verdana"/>
          <w:sz w:val="22"/>
          <w:szCs w:val="22"/>
        </w:rPr>
        <w:t>una</w:t>
      </w:r>
      <w:r w:rsidR="009F79B5" w:rsidRPr="00D3052A">
        <w:rPr>
          <w:rFonts w:ascii="Verdana" w:eastAsia="Verdana" w:hAnsi="Verdana" w:cs="Verdana"/>
          <w:sz w:val="22"/>
          <w:szCs w:val="22"/>
        </w:rPr>
        <w:t xml:space="preserve"> reunión con </w:t>
      </w:r>
      <w:r w:rsidR="00D37117" w:rsidRPr="00D3052A">
        <w:rPr>
          <w:rFonts w:ascii="Verdana" w:eastAsia="Verdana" w:hAnsi="Verdana" w:cs="Verdana"/>
          <w:sz w:val="22"/>
          <w:szCs w:val="22"/>
        </w:rPr>
        <w:t xml:space="preserve">los </w:t>
      </w:r>
      <w:r w:rsidR="009F79B5" w:rsidRPr="00D3052A">
        <w:rPr>
          <w:rFonts w:ascii="Verdana" w:eastAsia="Verdana" w:hAnsi="Verdana" w:cs="Verdana"/>
          <w:sz w:val="22"/>
          <w:szCs w:val="22"/>
        </w:rPr>
        <w:t>presidentes y coordinadores técnicos</w:t>
      </w:r>
      <w:r w:rsidR="00D37117" w:rsidRPr="00D3052A">
        <w:rPr>
          <w:rFonts w:ascii="Verdana" w:eastAsia="Verdana" w:hAnsi="Verdana" w:cs="Verdana"/>
          <w:sz w:val="22"/>
          <w:szCs w:val="22"/>
        </w:rPr>
        <w:t xml:space="preserve"> de los diferentes Comités y</w:t>
      </w:r>
      <w:r w:rsidR="00A822D1" w:rsidRPr="00D3052A">
        <w:rPr>
          <w:rFonts w:ascii="Verdana" w:eastAsia="Verdana" w:hAnsi="Verdana" w:cs="Verdana"/>
          <w:sz w:val="22"/>
          <w:szCs w:val="22"/>
        </w:rPr>
        <w:t xml:space="preserve"> </w:t>
      </w:r>
      <w:r w:rsidR="00B22CCE" w:rsidRPr="00D3052A">
        <w:rPr>
          <w:rFonts w:ascii="Verdana" w:eastAsia="Verdana" w:hAnsi="Verdana" w:cs="Verdana"/>
          <w:sz w:val="22"/>
          <w:szCs w:val="22"/>
        </w:rPr>
        <w:t>Subcomités, para</w:t>
      </w:r>
      <w:r w:rsidR="009F79B5" w:rsidRPr="00D3052A">
        <w:rPr>
          <w:rFonts w:ascii="Verdana" w:eastAsia="Verdana" w:hAnsi="Verdana" w:cs="Verdana"/>
          <w:sz w:val="22"/>
          <w:szCs w:val="22"/>
        </w:rPr>
        <w:t xml:space="preserve"> la estructuración y articula</w:t>
      </w:r>
      <w:r w:rsidR="004B2B5D" w:rsidRPr="00D3052A">
        <w:rPr>
          <w:rFonts w:ascii="Verdana" w:eastAsia="Verdana" w:hAnsi="Verdana" w:cs="Verdana"/>
          <w:sz w:val="22"/>
          <w:szCs w:val="22"/>
        </w:rPr>
        <w:t>c</w:t>
      </w:r>
      <w:r w:rsidR="009F79B5" w:rsidRPr="00D3052A">
        <w:rPr>
          <w:rFonts w:ascii="Verdana" w:eastAsia="Verdana" w:hAnsi="Verdana" w:cs="Verdana"/>
          <w:sz w:val="22"/>
          <w:szCs w:val="22"/>
        </w:rPr>
        <w:t>ión de</w:t>
      </w:r>
      <w:r w:rsidR="003740A7">
        <w:rPr>
          <w:rFonts w:ascii="Verdana" w:eastAsia="Verdana" w:hAnsi="Verdana" w:cs="Verdana"/>
          <w:sz w:val="22"/>
          <w:szCs w:val="22"/>
        </w:rPr>
        <w:t>l</w:t>
      </w:r>
      <w:r w:rsidR="00D37117" w:rsidRPr="00D3052A">
        <w:rPr>
          <w:rFonts w:ascii="Verdana" w:eastAsia="Verdana" w:hAnsi="Verdana" w:cs="Verdana"/>
          <w:sz w:val="22"/>
          <w:szCs w:val="22"/>
        </w:rPr>
        <w:t xml:space="preserve"> Plan O</w:t>
      </w:r>
      <w:r w:rsidR="00A822D1" w:rsidRPr="00D3052A">
        <w:rPr>
          <w:rFonts w:ascii="Verdana" w:eastAsia="Verdana" w:hAnsi="Verdana" w:cs="Verdana"/>
          <w:sz w:val="22"/>
          <w:szCs w:val="22"/>
        </w:rPr>
        <w:t>perativo</w:t>
      </w:r>
      <w:r w:rsidR="009F79B5" w:rsidRPr="00D3052A">
        <w:rPr>
          <w:rFonts w:ascii="Verdana" w:eastAsia="Verdana" w:hAnsi="Verdana" w:cs="Verdana"/>
          <w:sz w:val="22"/>
          <w:szCs w:val="22"/>
        </w:rPr>
        <w:t>.</w:t>
      </w:r>
      <w:r w:rsidRPr="00D3052A">
        <w:rPr>
          <w:rFonts w:ascii="Verdana" w:eastAsia="Verdana" w:hAnsi="Verdana" w:cs="Verdana"/>
          <w:sz w:val="22"/>
          <w:szCs w:val="22"/>
        </w:rPr>
        <w:t xml:space="preserve"> Los resultados de</w:t>
      </w:r>
      <w:r w:rsidR="00A822D1" w:rsidRPr="00D3052A">
        <w:rPr>
          <w:rFonts w:ascii="Verdana" w:eastAsia="Verdana" w:hAnsi="Verdana" w:cs="Verdana"/>
          <w:sz w:val="22"/>
          <w:szCs w:val="22"/>
        </w:rPr>
        <w:t xml:space="preserve"> este</w:t>
      </w:r>
      <w:r w:rsidRPr="00D3052A">
        <w:rPr>
          <w:rFonts w:ascii="Verdana" w:eastAsia="Verdana" w:hAnsi="Verdana" w:cs="Verdana"/>
          <w:sz w:val="22"/>
          <w:szCs w:val="22"/>
        </w:rPr>
        <w:t xml:space="preserve"> ejercicio</w:t>
      </w:r>
      <w:r w:rsidR="00A822D1" w:rsidRPr="00D3052A">
        <w:rPr>
          <w:rFonts w:ascii="Verdana" w:eastAsia="Verdana" w:hAnsi="Verdana" w:cs="Verdana"/>
          <w:sz w:val="22"/>
          <w:szCs w:val="22"/>
        </w:rPr>
        <w:t xml:space="preserve"> y las principales conclusiones de la autoevaluación</w:t>
      </w:r>
      <w:r w:rsidRPr="00D3052A">
        <w:rPr>
          <w:rFonts w:ascii="Verdana" w:eastAsia="Verdana" w:hAnsi="Verdana" w:cs="Verdana"/>
          <w:sz w:val="22"/>
          <w:szCs w:val="22"/>
        </w:rPr>
        <w:t xml:space="preserve"> se presentarán en la reunión del Consejo del mes de </w:t>
      </w:r>
      <w:r w:rsidR="009F79B5" w:rsidRPr="00D3052A">
        <w:rPr>
          <w:rFonts w:ascii="Verdana" w:eastAsia="Verdana" w:hAnsi="Verdana" w:cs="Verdana"/>
          <w:sz w:val="22"/>
          <w:szCs w:val="22"/>
        </w:rPr>
        <w:t>marzo</w:t>
      </w:r>
      <w:r w:rsidRPr="00D3052A">
        <w:rPr>
          <w:rFonts w:ascii="Verdana" w:eastAsia="Verdana" w:hAnsi="Verdana" w:cs="Verdana"/>
          <w:sz w:val="22"/>
          <w:szCs w:val="22"/>
        </w:rPr>
        <w:t xml:space="preserve"> de</w:t>
      </w:r>
      <w:r w:rsidR="00A822D1" w:rsidRPr="00D3052A">
        <w:rPr>
          <w:rFonts w:ascii="Verdana" w:eastAsia="Verdana" w:hAnsi="Verdana" w:cs="Verdana"/>
          <w:sz w:val="22"/>
          <w:szCs w:val="22"/>
        </w:rPr>
        <w:t>l año en curso</w:t>
      </w:r>
      <w:r w:rsidRPr="00D3052A">
        <w:rPr>
          <w:rFonts w:ascii="Verdana" w:eastAsia="Verdana" w:hAnsi="Verdana" w:cs="Verdana"/>
          <w:sz w:val="22"/>
          <w:szCs w:val="22"/>
        </w:rPr>
        <w:t>.</w:t>
      </w:r>
    </w:p>
    <w:p w14:paraId="457FA286" w14:textId="187BDB4C" w:rsidR="00D3052A" w:rsidRDefault="00D3052A" w:rsidP="00E94436">
      <w:pPr>
        <w:pStyle w:val="Prrafodelista"/>
        <w:autoSpaceDE w:val="0"/>
        <w:autoSpaceDN w:val="0"/>
        <w:adjustRightInd w:val="0"/>
        <w:ind w:left="360"/>
        <w:jc w:val="both"/>
        <w:rPr>
          <w:rFonts w:ascii="Verdana" w:eastAsia="Verdana" w:hAnsi="Verdana" w:cs="Verdana"/>
          <w:sz w:val="22"/>
          <w:szCs w:val="22"/>
        </w:rPr>
      </w:pPr>
    </w:p>
    <w:p w14:paraId="7A6AD0F7" w14:textId="6B724FDE" w:rsidR="00D3052A" w:rsidRPr="00B22CCE" w:rsidRDefault="00D3052A">
      <w:pPr>
        <w:pStyle w:val="Prrafodelista"/>
        <w:numPr>
          <w:ilvl w:val="0"/>
          <w:numId w:val="35"/>
        </w:numPr>
        <w:autoSpaceDE w:val="0"/>
        <w:autoSpaceDN w:val="0"/>
        <w:adjustRightInd w:val="0"/>
        <w:jc w:val="both"/>
        <w:rPr>
          <w:rFonts w:ascii="Verdana" w:eastAsia="Verdana" w:hAnsi="Verdana" w:cs="Verdana"/>
          <w:sz w:val="22"/>
          <w:szCs w:val="22"/>
        </w:rPr>
      </w:pPr>
      <w:r w:rsidRPr="00B22CCE">
        <w:rPr>
          <w:rFonts w:ascii="Verdana" w:eastAsia="Verdana" w:hAnsi="Verdana" w:cs="Verdana"/>
          <w:sz w:val="22"/>
          <w:szCs w:val="22"/>
        </w:rPr>
        <w:t xml:space="preserve">DISPAC informó al Consejo que, por motivos de presupuesto, desisten de ser miembro </w:t>
      </w:r>
      <w:r w:rsidR="00AC29A3" w:rsidRPr="00B22CCE">
        <w:rPr>
          <w:rFonts w:ascii="Verdana" w:eastAsia="Verdana" w:hAnsi="Verdana" w:cs="Verdana"/>
          <w:sz w:val="22"/>
          <w:szCs w:val="22"/>
        </w:rPr>
        <w:t xml:space="preserve">por elección </w:t>
      </w:r>
      <w:r w:rsidRPr="00B22CCE">
        <w:rPr>
          <w:rFonts w:ascii="Verdana" w:eastAsia="Verdana" w:hAnsi="Verdana" w:cs="Verdana"/>
          <w:sz w:val="22"/>
          <w:szCs w:val="22"/>
        </w:rPr>
        <w:t xml:space="preserve">del CNO. </w:t>
      </w:r>
      <w:r w:rsidR="00AC29A3" w:rsidRPr="00B22CCE">
        <w:rPr>
          <w:rFonts w:ascii="Verdana" w:eastAsia="Verdana" w:hAnsi="Verdana" w:cs="Verdana"/>
          <w:sz w:val="22"/>
          <w:szCs w:val="22"/>
        </w:rPr>
        <w:t xml:space="preserve">Por lo anterior, </w:t>
      </w:r>
      <w:r w:rsidRPr="00B22CCE">
        <w:rPr>
          <w:rFonts w:ascii="Verdana" w:eastAsia="Verdana" w:hAnsi="Verdana" w:cs="Verdana"/>
          <w:sz w:val="22"/>
          <w:szCs w:val="22"/>
        </w:rPr>
        <w:t xml:space="preserve">se convocará a una nueva elección del miembro por </w:t>
      </w:r>
      <w:r w:rsidR="00AC29A3" w:rsidRPr="00B22CCE">
        <w:rPr>
          <w:rFonts w:ascii="Verdana" w:eastAsia="Verdana" w:hAnsi="Verdana" w:cs="Verdana"/>
          <w:sz w:val="22"/>
          <w:szCs w:val="22"/>
        </w:rPr>
        <w:t xml:space="preserve">elección </w:t>
      </w:r>
      <w:r w:rsidRPr="00B22CCE">
        <w:rPr>
          <w:rFonts w:ascii="Verdana" w:eastAsia="Verdana" w:hAnsi="Verdana" w:cs="Verdana"/>
          <w:sz w:val="22"/>
          <w:szCs w:val="22"/>
        </w:rPr>
        <w:t xml:space="preserve">que represente </w:t>
      </w:r>
      <w:r w:rsidR="00AC29A3" w:rsidRPr="00B22CCE">
        <w:rPr>
          <w:rFonts w:ascii="Verdana" w:eastAsia="Verdana" w:hAnsi="Verdana" w:cs="Verdana"/>
          <w:sz w:val="22"/>
          <w:szCs w:val="22"/>
        </w:rPr>
        <w:t>a los distribuidores que no realicen prioritariamente actividades de generación</w:t>
      </w:r>
      <w:r w:rsidRPr="00B22CCE">
        <w:rPr>
          <w:rFonts w:ascii="Verdana" w:eastAsia="Verdana" w:hAnsi="Verdana" w:cs="Verdana"/>
          <w:sz w:val="22"/>
          <w:szCs w:val="22"/>
        </w:rPr>
        <w:t>. A la fecha han manifestado interés de ser miembro</w:t>
      </w:r>
      <w:r w:rsidR="00E94436" w:rsidRPr="00B22CCE">
        <w:rPr>
          <w:rFonts w:ascii="Verdana" w:eastAsia="Verdana" w:hAnsi="Verdana" w:cs="Verdana"/>
          <w:sz w:val="22"/>
          <w:szCs w:val="22"/>
        </w:rPr>
        <w:t>s</w:t>
      </w:r>
      <w:r w:rsidRPr="00B22CCE">
        <w:rPr>
          <w:rFonts w:ascii="Verdana" w:eastAsia="Verdana" w:hAnsi="Verdana" w:cs="Verdana"/>
          <w:sz w:val="22"/>
          <w:szCs w:val="22"/>
        </w:rPr>
        <w:t xml:space="preserve"> EBSA y EMSA.</w:t>
      </w:r>
    </w:p>
    <w:p w14:paraId="1E23B4EA" w14:textId="77777777" w:rsidR="00AC29A3" w:rsidRPr="00B22CCE" w:rsidRDefault="00AC29A3" w:rsidP="00B22CCE">
      <w:pPr>
        <w:pStyle w:val="Prrafodelista"/>
        <w:rPr>
          <w:rFonts w:ascii="Verdana" w:eastAsia="Verdana" w:hAnsi="Verdana" w:cs="Verdana"/>
          <w:sz w:val="22"/>
          <w:szCs w:val="22"/>
        </w:rPr>
      </w:pPr>
    </w:p>
    <w:p w14:paraId="71C6D89C" w14:textId="74EFBA88" w:rsidR="00AC29A3" w:rsidRPr="00B22CCE" w:rsidRDefault="00AC29A3">
      <w:pPr>
        <w:pStyle w:val="Prrafodelista"/>
        <w:numPr>
          <w:ilvl w:val="0"/>
          <w:numId w:val="35"/>
        </w:numPr>
        <w:autoSpaceDE w:val="0"/>
        <w:autoSpaceDN w:val="0"/>
        <w:adjustRightInd w:val="0"/>
        <w:jc w:val="both"/>
        <w:rPr>
          <w:rFonts w:ascii="Verdana" w:eastAsia="Verdana" w:hAnsi="Verdana" w:cs="Verdana"/>
          <w:sz w:val="22"/>
          <w:szCs w:val="22"/>
        </w:rPr>
      </w:pPr>
      <w:r w:rsidRPr="00B22CCE">
        <w:rPr>
          <w:rFonts w:ascii="Verdana" w:eastAsia="Verdana" w:hAnsi="Verdana" w:cs="Verdana"/>
          <w:sz w:val="22"/>
          <w:szCs w:val="22"/>
        </w:rPr>
        <w:lastRenderedPageBreak/>
        <w:t xml:space="preserve"> Se recibió la oferta económica de la empresa NETCO Ltda. para implementar un sistema de certificado de firma digital para los documentos (actas y acuerdos) que firman el Secretario Técnico y el Presidente del CNO y firma digital estándar para la suscripción de las actas por parte de los Presidentes y Coordinadores Técnicos de los subcomités y comités. El valor de la oferta es de $ 976.312 por un año de servicio</w:t>
      </w:r>
      <w:r w:rsidR="00C53AF0" w:rsidRPr="00B22CCE">
        <w:rPr>
          <w:rFonts w:ascii="Verdana" w:eastAsia="Verdana" w:hAnsi="Verdana" w:cs="Verdana"/>
          <w:sz w:val="22"/>
          <w:szCs w:val="22"/>
        </w:rPr>
        <w:t>.</w:t>
      </w:r>
    </w:p>
    <w:p w14:paraId="73D948B2" w14:textId="0C085500" w:rsidR="00AC29A3" w:rsidRDefault="00AC29A3" w:rsidP="00AC29A3">
      <w:pPr>
        <w:pStyle w:val="Prrafodelista"/>
        <w:autoSpaceDE w:val="0"/>
        <w:autoSpaceDN w:val="0"/>
        <w:adjustRightInd w:val="0"/>
        <w:ind w:left="360"/>
        <w:jc w:val="center"/>
        <w:rPr>
          <w:rFonts w:ascii="Verdana" w:eastAsia="Verdana" w:hAnsi="Verdana" w:cs="Verdana"/>
          <w:sz w:val="22"/>
          <w:szCs w:val="22"/>
          <w:highlight w:val="yellow"/>
        </w:rPr>
      </w:pPr>
      <w:r w:rsidRPr="00AC29A3">
        <w:rPr>
          <w:rFonts w:ascii="Verdana" w:eastAsia="Verdana" w:hAnsi="Verdana" w:cs="Verdana"/>
          <w:noProof/>
          <w:sz w:val="22"/>
          <w:szCs w:val="22"/>
        </w:rPr>
        <w:drawing>
          <wp:inline distT="0" distB="0" distL="0" distR="0" wp14:anchorId="186CACCE" wp14:editId="54871410">
            <wp:extent cx="4595248" cy="2003875"/>
            <wp:effectExtent l="0" t="0" r="2540" b="3175"/>
            <wp:docPr id="1"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7008" cy="2013364"/>
                    </a:xfrm>
                    <a:prstGeom prst="rect">
                      <a:avLst/>
                    </a:prstGeom>
                  </pic:spPr>
                </pic:pic>
              </a:graphicData>
            </a:graphic>
          </wp:inline>
        </w:drawing>
      </w:r>
    </w:p>
    <w:p w14:paraId="36B1A70F" w14:textId="5862BDEB" w:rsidR="00C53AF0" w:rsidRDefault="00C53AF0" w:rsidP="00C53AF0">
      <w:pPr>
        <w:pStyle w:val="Prrafodelista"/>
        <w:autoSpaceDE w:val="0"/>
        <w:autoSpaceDN w:val="0"/>
        <w:adjustRightInd w:val="0"/>
        <w:ind w:left="360"/>
        <w:rPr>
          <w:rFonts w:ascii="Verdana" w:eastAsia="Verdana" w:hAnsi="Verdana" w:cs="Verdana"/>
          <w:sz w:val="22"/>
          <w:szCs w:val="22"/>
          <w:highlight w:val="yellow"/>
        </w:rPr>
      </w:pPr>
    </w:p>
    <w:p w14:paraId="5F1CC78C" w14:textId="26E804BB" w:rsidR="00C53AF0" w:rsidRPr="00B22CCE" w:rsidRDefault="00C53AF0" w:rsidP="00C53AF0">
      <w:pPr>
        <w:pStyle w:val="Prrafodelista"/>
        <w:numPr>
          <w:ilvl w:val="0"/>
          <w:numId w:val="35"/>
        </w:numPr>
        <w:autoSpaceDE w:val="0"/>
        <w:autoSpaceDN w:val="0"/>
        <w:adjustRightInd w:val="0"/>
        <w:jc w:val="both"/>
        <w:rPr>
          <w:rFonts w:ascii="Verdana" w:eastAsia="Verdana" w:hAnsi="Verdana" w:cs="Verdana"/>
          <w:sz w:val="22"/>
          <w:szCs w:val="22"/>
        </w:rPr>
      </w:pPr>
      <w:r w:rsidRPr="00B22CCE">
        <w:rPr>
          <w:rFonts w:ascii="Verdana" w:eastAsia="Verdana" w:hAnsi="Verdana" w:cs="Verdana"/>
          <w:sz w:val="22"/>
          <w:szCs w:val="22"/>
        </w:rPr>
        <w:t xml:space="preserve"> Con el objetivo de fortalecer la socialización y divulgación de los acuerdos y las actividades del Consejo, se desarrolló una funcionalidad para la elaboración y divulgación de un boletín informativo, que se enviará a los integrantes e  invitados al CNO, Comités y Subcomites y demás personas interesadas que se suscriban al boletín a través de la página WEB.</w:t>
      </w:r>
    </w:p>
    <w:p w14:paraId="2E0A3355" w14:textId="585FFC99" w:rsidR="00C53AF0" w:rsidRDefault="00C53AF0" w:rsidP="00C53AF0">
      <w:pPr>
        <w:pStyle w:val="Prrafodelista"/>
        <w:autoSpaceDE w:val="0"/>
        <w:autoSpaceDN w:val="0"/>
        <w:adjustRightInd w:val="0"/>
        <w:ind w:left="360"/>
        <w:jc w:val="both"/>
        <w:rPr>
          <w:rFonts w:ascii="Verdana" w:eastAsia="Verdana" w:hAnsi="Verdana" w:cs="Verdana"/>
          <w:sz w:val="22"/>
          <w:szCs w:val="22"/>
          <w:highlight w:val="yellow"/>
        </w:rPr>
      </w:pPr>
    </w:p>
    <w:p w14:paraId="38801C76" w14:textId="7BD6C257" w:rsidR="00AC29A3" w:rsidRDefault="00C53AF0">
      <w:pPr>
        <w:autoSpaceDE w:val="0"/>
        <w:autoSpaceDN w:val="0"/>
        <w:adjustRightInd w:val="0"/>
        <w:jc w:val="both"/>
        <w:rPr>
          <w:rFonts w:ascii="Verdana" w:eastAsia="Verdana" w:hAnsi="Verdana" w:cs="Verdana"/>
          <w:sz w:val="22"/>
          <w:szCs w:val="22"/>
        </w:rPr>
      </w:pPr>
      <w:r w:rsidRPr="00C53AF0">
        <w:rPr>
          <w:rFonts w:ascii="Verdana" w:eastAsia="Verdana" w:hAnsi="Verdana" w:cs="Verdana"/>
          <w:noProof/>
          <w:spacing w:val="-20"/>
          <w:sz w:val="22"/>
          <w:szCs w:val="22"/>
          <w:lang w:eastAsia="es-ES"/>
        </w:rPr>
        <w:drawing>
          <wp:inline distT="0" distB="0" distL="0" distR="0" wp14:anchorId="24CA5675" wp14:editId="0BD44B48">
            <wp:extent cx="3115159" cy="1780719"/>
            <wp:effectExtent l="0" t="0" r="0" b="0"/>
            <wp:docPr id="2" name="Imagen 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6570" cy="1792958"/>
                    </a:xfrm>
                    <a:prstGeom prst="rect">
                      <a:avLst/>
                    </a:prstGeom>
                  </pic:spPr>
                </pic:pic>
              </a:graphicData>
            </a:graphic>
          </wp:inline>
        </w:drawing>
      </w:r>
    </w:p>
    <w:p w14:paraId="79A3628B" w14:textId="77777777" w:rsidR="00C53AF0" w:rsidRPr="00D3052A" w:rsidRDefault="00C53AF0">
      <w:pPr>
        <w:autoSpaceDE w:val="0"/>
        <w:autoSpaceDN w:val="0"/>
        <w:adjustRightInd w:val="0"/>
        <w:jc w:val="both"/>
        <w:rPr>
          <w:rFonts w:ascii="Verdana" w:eastAsia="Verdana" w:hAnsi="Verdana" w:cs="Verdana"/>
          <w:sz w:val="22"/>
          <w:szCs w:val="22"/>
        </w:rPr>
      </w:pPr>
    </w:p>
    <w:p w14:paraId="4997A15D" w14:textId="77777777" w:rsidR="00D9298D" w:rsidRDefault="00D9298D">
      <w:pPr>
        <w:jc w:val="both"/>
        <w:rPr>
          <w:rFonts w:ascii="Verdana" w:eastAsia="Verdana" w:hAnsi="Verdana" w:cs="Verdana"/>
          <w:b/>
          <w:sz w:val="22"/>
          <w:szCs w:val="22"/>
          <w:u w:val="single"/>
        </w:rPr>
      </w:pPr>
    </w:p>
    <w:p w14:paraId="44643388" w14:textId="7C2CDEA7" w:rsidR="00D9298D" w:rsidRDefault="00D9298D" w:rsidP="00D9298D">
      <w:pPr>
        <w:pStyle w:val="Prrafodelista"/>
        <w:numPr>
          <w:ilvl w:val="0"/>
          <w:numId w:val="35"/>
        </w:numPr>
        <w:jc w:val="both"/>
        <w:rPr>
          <w:rFonts w:ascii="Verdana" w:eastAsia="Verdana" w:hAnsi="Verdana" w:cs="Verdana"/>
          <w:bCs/>
          <w:sz w:val="22"/>
          <w:szCs w:val="22"/>
        </w:rPr>
      </w:pPr>
      <w:r w:rsidRPr="00D9298D">
        <w:rPr>
          <w:rFonts w:ascii="Verdana" w:eastAsia="Verdana" w:hAnsi="Verdana" w:cs="Verdana"/>
          <w:bCs/>
          <w:sz w:val="22"/>
          <w:szCs w:val="22"/>
        </w:rPr>
        <w:t>La agenda propuesta para la visita a Ituango</w:t>
      </w:r>
      <w:r>
        <w:rPr>
          <w:rFonts w:ascii="Verdana" w:eastAsia="Verdana" w:hAnsi="Verdana" w:cs="Verdana"/>
          <w:bCs/>
          <w:sz w:val="22"/>
          <w:szCs w:val="22"/>
        </w:rPr>
        <w:t xml:space="preserve"> es la siguiente:</w:t>
      </w:r>
    </w:p>
    <w:p w14:paraId="6066A287" w14:textId="77777777" w:rsidR="00D9298D" w:rsidRPr="00D9298D" w:rsidRDefault="00D9298D" w:rsidP="00D9298D">
      <w:pPr>
        <w:jc w:val="both"/>
        <w:rPr>
          <w:rFonts w:ascii="Verdana" w:eastAsia="Verdana" w:hAnsi="Verdana" w:cs="Verdana"/>
          <w:bCs/>
          <w:sz w:val="22"/>
          <w:szCs w:val="22"/>
        </w:rPr>
      </w:pPr>
    </w:p>
    <w:p w14:paraId="20574460" w14:textId="68A9E5B6" w:rsidR="00D9298D" w:rsidRDefault="00D9298D" w:rsidP="00D9298D">
      <w:pPr>
        <w:ind w:left="360"/>
        <w:jc w:val="both"/>
        <w:rPr>
          <w:rFonts w:ascii="Verdana" w:eastAsia="Verdana" w:hAnsi="Verdana" w:cs="Verdana"/>
          <w:bCs/>
          <w:sz w:val="22"/>
          <w:szCs w:val="22"/>
        </w:rPr>
      </w:pPr>
      <w:r w:rsidRPr="00D9298D">
        <w:rPr>
          <w:rFonts w:ascii="Verdana" w:eastAsia="Verdana" w:hAnsi="Verdana" w:cs="Verdana"/>
          <w:bCs/>
          <w:sz w:val="22"/>
          <w:szCs w:val="22"/>
        </w:rPr>
        <w:t>Jueves 5 de marzo: Reunión CNO 585 en Medell</w:t>
      </w:r>
      <w:r>
        <w:rPr>
          <w:rFonts w:ascii="Verdana" w:eastAsia="Verdana" w:hAnsi="Verdana" w:cs="Verdana"/>
          <w:bCs/>
          <w:sz w:val="22"/>
          <w:szCs w:val="22"/>
        </w:rPr>
        <w:t>í</w:t>
      </w:r>
      <w:r w:rsidRPr="00D9298D">
        <w:rPr>
          <w:rFonts w:ascii="Verdana" w:eastAsia="Verdana" w:hAnsi="Verdana" w:cs="Verdana"/>
          <w:bCs/>
          <w:sz w:val="22"/>
          <w:szCs w:val="22"/>
        </w:rPr>
        <w:t>n y partida en la tarde a la Central</w:t>
      </w:r>
      <w:r>
        <w:rPr>
          <w:rFonts w:ascii="Verdana" w:eastAsia="Verdana" w:hAnsi="Verdana" w:cs="Verdana"/>
          <w:bCs/>
          <w:sz w:val="22"/>
          <w:szCs w:val="22"/>
        </w:rPr>
        <w:t>.</w:t>
      </w:r>
    </w:p>
    <w:p w14:paraId="1CD6B578" w14:textId="77777777" w:rsidR="00D9298D" w:rsidRDefault="00D9298D" w:rsidP="00D9298D">
      <w:pPr>
        <w:ind w:left="360"/>
        <w:jc w:val="both"/>
        <w:rPr>
          <w:rFonts w:ascii="Verdana" w:eastAsia="Verdana" w:hAnsi="Verdana" w:cs="Verdana"/>
          <w:bCs/>
          <w:sz w:val="22"/>
          <w:szCs w:val="22"/>
        </w:rPr>
      </w:pPr>
      <w:r>
        <w:rPr>
          <w:rFonts w:ascii="Verdana" w:eastAsia="Verdana" w:hAnsi="Verdana" w:cs="Verdana"/>
          <w:bCs/>
          <w:sz w:val="22"/>
          <w:szCs w:val="22"/>
        </w:rPr>
        <w:t>Viernes 6 de marzo: visita a la central y después de almuerzo regreso a Medellín.</w:t>
      </w:r>
    </w:p>
    <w:p w14:paraId="369DB1A0" w14:textId="77777777" w:rsidR="00D9298D" w:rsidRDefault="00D9298D" w:rsidP="00D9298D">
      <w:pPr>
        <w:ind w:left="360"/>
        <w:jc w:val="both"/>
        <w:rPr>
          <w:rFonts w:ascii="Verdana" w:eastAsia="Verdana" w:hAnsi="Verdana" w:cs="Verdana"/>
          <w:bCs/>
          <w:sz w:val="22"/>
          <w:szCs w:val="22"/>
        </w:rPr>
      </w:pPr>
    </w:p>
    <w:p w14:paraId="58DE58E6" w14:textId="53DB3EB0" w:rsidR="00D9298D" w:rsidRPr="00D9298D" w:rsidRDefault="00D9298D" w:rsidP="00D9298D">
      <w:pPr>
        <w:ind w:left="360"/>
        <w:jc w:val="both"/>
        <w:rPr>
          <w:rFonts w:ascii="Verdana" w:eastAsia="Verdana" w:hAnsi="Verdana" w:cs="Verdana"/>
          <w:bCs/>
          <w:sz w:val="22"/>
          <w:szCs w:val="22"/>
        </w:rPr>
      </w:pPr>
      <w:r>
        <w:rPr>
          <w:rFonts w:ascii="Verdana" w:eastAsia="Verdana" w:hAnsi="Verdana" w:cs="Verdana"/>
          <w:bCs/>
          <w:sz w:val="22"/>
          <w:szCs w:val="22"/>
        </w:rPr>
        <w:t xml:space="preserve">Se enviará un formato enviado por EPM para ser diligenciado por cada uno de los que van a participar en la visita. </w:t>
      </w:r>
    </w:p>
    <w:p w14:paraId="140A1F88" w14:textId="77777777" w:rsidR="00D9298D" w:rsidRPr="00D9298D" w:rsidRDefault="00D9298D" w:rsidP="00D9298D">
      <w:pPr>
        <w:ind w:left="360"/>
        <w:jc w:val="both"/>
        <w:rPr>
          <w:rFonts w:ascii="Verdana" w:eastAsia="Verdana" w:hAnsi="Verdana" w:cs="Verdana"/>
          <w:bCs/>
          <w:sz w:val="22"/>
          <w:szCs w:val="22"/>
          <w:u w:val="single"/>
        </w:rPr>
      </w:pPr>
    </w:p>
    <w:p w14:paraId="43EE1A47" w14:textId="7C608F21" w:rsidR="00112C06" w:rsidRPr="00D3052A" w:rsidRDefault="00112C06">
      <w:pPr>
        <w:jc w:val="both"/>
        <w:rPr>
          <w:rFonts w:ascii="Verdana" w:eastAsia="Verdana" w:hAnsi="Verdana" w:cs="Verdana"/>
          <w:b/>
          <w:sz w:val="22"/>
          <w:szCs w:val="22"/>
          <w:u w:val="single"/>
        </w:rPr>
      </w:pPr>
      <w:r w:rsidRPr="00D3052A">
        <w:rPr>
          <w:rFonts w:ascii="Verdana" w:eastAsia="Verdana" w:hAnsi="Verdana" w:cs="Verdana"/>
          <w:b/>
          <w:sz w:val="22"/>
          <w:szCs w:val="22"/>
          <w:u w:val="single"/>
        </w:rPr>
        <w:t>ASPECTOS TÉCNICOS:</w:t>
      </w:r>
    </w:p>
    <w:p w14:paraId="2F81F121" w14:textId="77777777" w:rsidR="00530852" w:rsidRPr="00D3052A" w:rsidRDefault="00530852">
      <w:pPr>
        <w:jc w:val="both"/>
        <w:rPr>
          <w:rFonts w:ascii="Verdana" w:hAnsi="Verdana"/>
          <w:bCs/>
          <w:sz w:val="22"/>
          <w:szCs w:val="22"/>
        </w:rPr>
      </w:pPr>
    </w:p>
    <w:p w14:paraId="52791048" w14:textId="189BA45C" w:rsidR="00275415" w:rsidRPr="00D3052A" w:rsidRDefault="00524F3C">
      <w:pPr>
        <w:pStyle w:val="Prrafodelista"/>
        <w:numPr>
          <w:ilvl w:val="0"/>
          <w:numId w:val="35"/>
        </w:numPr>
        <w:autoSpaceDE w:val="0"/>
        <w:autoSpaceDN w:val="0"/>
        <w:adjustRightInd w:val="0"/>
        <w:jc w:val="both"/>
        <w:rPr>
          <w:rFonts w:ascii="Verdana" w:eastAsia="Verdana" w:hAnsi="Verdana" w:cs="Verdana"/>
          <w:sz w:val="22"/>
          <w:szCs w:val="22"/>
        </w:rPr>
      </w:pPr>
      <w:r w:rsidRPr="00D3052A">
        <w:rPr>
          <w:rFonts w:ascii="Verdana" w:eastAsia="Verdana" w:hAnsi="Verdana" w:cs="Verdana"/>
          <w:sz w:val="22"/>
          <w:szCs w:val="22"/>
        </w:rPr>
        <w:t>S</w:t>
      </w:r>
      <w:r w:rsidR="00282C44" w:rsidRPr="00D3052A">
        <w:rPr>
          <w:rFonts w:ascii="Verdana" w:eastAsia="Verdana" w:hAnsi="Verdana" w:cs="Verdana"/>
          <w:sz w:val="22"/>
          <w:szCs w:val="22"/>
        </w:rPr>
        <w:t xml:space="preserve">obre la Resolución CREG </w:t>
      </w:r>
      <w:r w:rsidR="00412FC8" w:rsidRPr="00D3052A">
        <w:rPr>
          <w:rFonts w:ascii="Verdana" w:eastAsia="Verdana" w:hAnsi="Verdana" w:cs="Verdana"/>
          <w:sz w:val="22"/>
          <w:szCs w:val="22"/>
        </w:rPr>
        <w:t xml:space="preserve">153 de 2019 “Por la cual se establece una excepción a los límites de variación de la tensión nominal en la operación de los Sistemas de Transmisión Regional”, </w:t>
      </w:r>
      <w:r w:rsidR="00863B90" w:rsidRPr="00D3052A">
        <w:rPr>
          <w:rFonts w:ascii="Verdana" w:eastAsia="Verdana" w:hAnsi="Verdana" w:cs="Verdana"/>
          <w:sz w:val="22"/>
          <w:szCs w:val="22"/>
        </w:rPr>
        <w:t xml:space="preserve"> </w:t>
      </w:r>
      <w:r w:rsidR="00A822D1" w:rsidRPr="00D3052A">
        <w:rPr>
          <w:rFonts w:ascii="Verdana" w:eastAsia="Verdana" w:hAnsi="Verdana" w:cs="Verdana"/>
          <w:sz w:val="22"/>
          <w:szCs w:val="22"/>
        </w:rPr>
        <w:t xml:space="preserve">se llevó </w:t>
      </w:r>
      <w:r w:rsidR="00A822D1" w:rsidRPr="00D3052A">
        <w:rPr>
          <w:rFonts w:ascii="Verdana" w:eastAsia="Verdana" w:hAnsi="Verdana" w:cs="Verdana"/>
          <w:sz w:val="22"/>
          <w:szCs w:val="22"/>
        </w:rPr>
        <w:lastRenderedPageBreak/>
        <w:t>a cabo una reunión con la C</w:t>
      </w:r>
      <w:r w:rsidR="00A957D8" w:rsidRPr="00D3052A">
        <w:rPr>
          <w:rFonts w:ascii="Verdana" w:eastAsia="Verdana" w:hAnsi="Verdana" w:cs="Verdana"/>
          <w:sz w:val="22"/>
          <w:szCs w:val="22"/>
        </w:rPr>
        <w:t>omisión,</w:t>
      </w:r>
      <w:r w:rsidR="00A822D1" w:rsidRPr="00D3052A">
        <w:rPr>
          <w:rFonts w:ascii="Verdana" w:eastAsia="Verdana" w:hAnsi="Verdana" w:cs="Verdana"/>
          <w:sz w:val="22"/>
          <w:szCs w:val="22"/>
        </w:rPr>
        <w:t xml:space="preserve"> donde se expusieron los motivos por los cuales el Consejo no podría expedir Acuerdo</w:t>
      </w:r>
      <w:r w:rsidR="00A957D8" w:rsidRPr="00D3052A">
        <w:rPr>
          <w:rFonts w:ascii="Verdana" w:eastAsia="Verdana" w:hAnsi="Verdana" w:cs="Verdana"/>
          <w:sz w:val="22"/>
          <w:szCs w:val="22"/>
        </w:rPr>
        <w:t>s que instrumenten dicha Resolución</w:t>
      </w:r>
      <w:r w:rsidR="00A822D1" w:rsidRPr="00D3052A">
        <w:rPr>
          <w:rFonts w:ascii="Verdana" w:eastAsia="Verdana" w:hAnsi="Verdana" w:cs="Verdana"/>
          <w:sz w:val="22"/>
          <w:szCs w:val="22"/>
        </w:rPr>
        <w:t>, dada la imposibilidad de asegurar que con la medida excepcional</w:t>
      </w:r>
      <w:r w:rsidR="00A957D8" w:rsidRPr="00D3052A">
        <w:rPr>
          <w:rFonts w:ascii="Verdana" w:eastAsia="Verdana" w:hAnsi="Verdana" w:cs="Verdana"/>
          <w:sz w:val="22"/>
          <w:szCs w:val="22"/>
        </w:rPr>
        <w:t xml:space="preserve"> no </w:t>
      </w:r>
      <w:r w:rsidR="00A822D1" w:rsidRPr="00D3052A">
        <w:rPr>
          <w:rFonts w:ascii="Verdana" w:eastAsia="Verdana" w:hAnsi="Verdana" w:cs="Verdana"/>
          <w:sz w:val="22"/>
          <w:szCs w:val="22"/>
        </w:rPr>
        <w:t>se a</w:t>
      </w:r>
      <w:r w:rsidR="00A957D8" w:rsidRPr="00D3052A">
        <w:rPr>
          <w:rFonts w:ascii="Verdana" w:eastAsia="Verdana" w:hAnsi="Verdana" w:cs="Verdana"/>
          <w:sz w:val="22"/>
          <w:szCs w:val="22"/>
        </w:rPr>
        <w:t>fecte</w:t>
      </w:r>
      <w:r w:rsidR="00A822D1" w:rsidRPr="00D3052A">
        <w:rPr>
          <w:rFonts w:ascii="Verdana" w:eastAsia="Verdana" w:hAnsi="Verdana" w:cs="Verdana"/>
          <w:sz w:val="22"/>
          <w:szCs w:val="22"/>
        </w:rPr>
        <w:t xml:space="preserve"> la operación segura y con</w:t>
      </w:r>
      <w:r w:rsidR="00A957D8" w:rsidRPr="00D3052A">
        <w:rPr>
          <w:rFonts w:ascii="Verdana" w:eastAsia="Verdana" w:hAnsi="Verdana" w:cs="Verdana"/>
          <w:sz w:val="22"/>
          <w:szCs w:val="22"/>
        </w:rPr>
        <w:t>fiable en los Sistemas de Distribución Local-SDL. Al respecto, se sugirió por parte de la CREG estudiar la posibilidad de incluir en dichos Acuerdos los planteamientos del Con</w:t>
      </w:r>
      <w:r w:rsidR="0091073A" w:rsidRPr="00D3052A">
        <w:rPr>
          <w:rFonts w:ascii="Verdana" w:eastAsia="Verdana" w:hAnsi="Verdana" w:cs="Verdana"/>
          <w:sz w:val="22"/>
          <w:szCs w:val="22"/>
        </w:rPr>
        <w:t xml:space="preserve">sejo, respecto a que el Operador de Red sea a partir de sus análisis el que asegure la no afectación de la operación segura y confiable en el SDL. </w:t>
      </w:r>
      <w:r w:rsidR="00A957D8" w:rsidRPr="00D3052A">
        <w:rPr>
          <w:rFonts w:ascii="Verdana" w:eastAsia="Verdana" w:hAnsi="Verdana" w:cs="Verdana"/>
          <w:sz w:val="22"/>
          <w:szCs w:val="22"/>
        </w:rPr>
        <w:t xml:space="preserve">   </w:t>
      </w:r>
      <w:r w:rsidR="00C040FE" w:rsidRPr="00D3052A">
        <w:rPr>
          <w:rFonts w:ascii="Verdana" w:eastAsia="Verdana" w:hAnsi="Verdana" w:cs="Verdana"/>
          <w:sz w:val="22"/>
          <w:szCs w:val="22"/>
        </w:rPr>
        <w:t xml:space="preserve">     </w:t>
      </w:r>
    </w:p>
    <w:p w14:paraId="662C38BD" w14:textId="77777777" w:rsidR="005F56D1" w:rsidRPr="00D3052A" w:rsidRDefault="005F56D1">
      <w:pPr>
        <w:ind w:left="360"/>
        <w:jc w:val="both"/>
        <w:rPr>
          <w:rFonts w:ascii="Verdana" w:hAnsi="Verdana"/>
          <w:bCs/>
          <w:sz w:val="22"/>
          <w:szCs w:val="22"/>
        </w:rPr>
      </w:pPr>
    </w:p>
    <w:p w14:paraId="0C078243" w14:textId="78EA8AFF" w:rsidR="00F3476A" w:rsidRPr="00D3052A" w:rsidRDefault="00B41BFA">
      <w:pPr>
        <w:pStyle w:val="Prrafodelista"/>
        <w:numPr>
          <w:ilvl w:val="0"/>
          <w:numId w:val="35"/>
        </w:numPr>
        <w:jc w:val="both"/>
        <w:rPr>
          <w:rFonts w:ascii="Verdana" w:hAnsi="Verdana"/>
          <w:bCs/>
          <w:sz w:val="22"/>
          <w:szCs w:val="22"/>
        </w:rPr>
      </w:pPr>
      <w:r>
        <w:rPr>
          <w:rFonts w:ascii="Verdana" w:hAnsi="Verdana"/>
          <w:bCs/>
          <w:sz w:val="22"/>
          <w:szCs w:val="22"/>
        </w:rPr>
        <w:t xml:space="preserve"> </w:t>
      </w:r>
      <w:r w:rsidR="00F3476A" w:rsidRPr="00D3052A">
        <w:rPr>
          <w:rFonts w:ascii="Verdana" w:hAnsi="Verdana"/>
          <w:bCs/>
          <w:sz w:val="22"/>
          <w:szCs w:val="22"/>
        </w:rPr>
        <w:t xml:space="preserve">Se llevó a cabo la </w:t>
      </w:r>
      <w:r w:rsidR="009F79B5" w:rsidRPr="00D3052A">
        <w:rPr>
          <w:rFonts w:ascii="Verdana" w:hAnsi="Verdana"/>
          <w:bCs/>
          <w:sz w:val="22"/>
          <w:szCs w:val="22"/>
        </w:rPr>
        <w:t>sexta</w:t>
      </w:r>
      <w:r w:rsidR="00F3476A" w:rsidRPr="00D3052A">
        <w:rPr>
          <w:rFonts w:ascii="Verdana" w:hAnsi="Verdana"/>
          <w:bCs/>
          <w:sz w:val="22"/>
          <w:szCs w:val="22"/>
        </w:rPr>
        <w:t xml:space="preserve"> reunión </w:t>
      </w:r>
      <w:r w:rsidR="0091073A" w:rsidRPr="00D3052A">
        <w:rPr>
          <w:rFonts w:ascii="Verdana" w:hAnsi="Verdana"/>
          <w:bCs/>
          <w:sz w:val="22"/>
          <w:szCs w:val="22"/>
        </w:rPr>
        <w:t xml:space="preserve">de coordinación Gas/Electricidad entre el CNO eléctrico y </w:t>
      </w:r>
      <w:r w:rsidR="00F3476A" w:rsidRPr="00D3052A">
        <w:rPr>
          <w:rFonts w:ascii="Verdana" w:hAnsi="Verdana"/>
          <w:bCs/>
          <w:sz w:val="22"/>
          <w:szCs w:val="22"/>
        </w:rPr>
        <w:t>el CNO gas</w:t>
      </w:r>
      <w:r w:rsidR="0091073A" w:rsidRPr="00D3052A">
        <w:rPr>
          <w:rFonts w:ascii="Verdana" w:hAnsi="Verdana"/>
          <w:bCs/>
          <w:sz w:val="22"/>
          <w:szCs w:val="22"/>
        </w:rPr>
        <w:t xml:space="preserve">.  En ella </w:t>
      </w:r>
      <w:r w:rsidR="008916B0" w:rsidRPr="00D3052A">
        <w:rPr>
          <w:rFonts w:ascii="Verdana" w:hAnsi="Verdana"/>
          <w:bCs/>
          <w:sz w:val="22"/>
          <w:szCs w:val="22"/>
        </w:rPr>
        <w:t>se acordaron los temas que se trabajar</w:t>
      </w:r>
      <w:r>
        <w:rPr>
          <w:rFonts w:ascii="Verdana" w:hAnsi="Verdana"/>
          <w:bCs/>
          <w:sz w:val="22"/>
          <w:szCs w:val="22"/>
        </w:rPr>
        <w:t>á</w:t>
      </w:r>
      <w:r w:rsidR="008916B0" w:rsidRPr="00D3052A">
        <w:rPr>
          <w:rFonts w:ascii="Verdana" w:hAnsi="Verdana"/>
          <w:bCs/>
          <w:sz w:val="22"/>
          <w:szCs w:val="22"/>
        </w:rPr>
        <w:t xml:space="preserve">n de manera conjunta para </w:t>
      </w:r>
      <w:r w:rsidR="00F3476A" w:rsidRPr="00D3052A">
        <w:rPr>
          <w:rFonts w:ascii="Verdana" w:hAnsi="Verdana"/>
          <w:bCs/>
          <w:sz w:val="22"/>
          <w:szCs w:val="22"/>
        </w:rPr>
        <w:t xml:space="preserve">mejorar la coordinación de los dos sectores. Las mismas se presentan </w:t>
      </w:r>
      <w:r w:rsidR="008916B0" w:rsidRPr="00D3052A">
        <w:rPr>
          <w:rFonts w:ascii="Verdana" w:hAnsi="Verdana"/>
          <w:bCs/>
          <w:sz w:val="22"/>
          <w:szCs w:val="22"/>
        </w:rPr>
        <w:t>a continuación:</w:t>
      </w:r>
    </w:p>
    <w:p w14:paraId="68F3461F" w14:textId="77777777" w:rsidR="008916B0" w:rsidRPr="00E94436" w:rsidRDefault="008916B0" w:rsidP="00E94436">
      <w:pPr>
        <w:pStyle w:val="Prrafodelista"/>
        <w:jc w:val="both"/>
        <w:rPr>
          <w:rFonts w:ascii="Verdana" w:hAnsi="Verdana"/>
          <w:bCs/>
          <w:sz w:val="22"/>
          <w:szCs w:val="22"/>
        </w:rPr>
      </w:pPr>
    </w:p>
    <w:p w14:paraId="64B29042" w14:textId="5B130A2C" w:rsidR="00511962" w:rsidRPr="00D3052A" w:rsidRDefault="00511962">
      <w:pPr>
        <w:pStyle w:val="Prrafodelista"/>
        <w:numPr>
          <w:ilvl w:val="0"/>
          <w:numId w:val="32"/>
        </w:numPr>
        <w:jc w:val="both"/>
        <w:rPr>
          <w:rFonts w:ascii="Verdana" w:hAnsi="Verdana"/>
          <w:bCs/>
          <w:sz w:val="22"/>
          <w:szCs w:val="22"/>
        </w:rPr>
      </w:pPr>
      <w:r w:rsidRPr="00D3052A">
        <w:rPr>
          <w:rFonts w:ascii="Verdana" w:hAnsi="Verdana"/>
          <w:bCs/>
          <w:sz w:val="22"/>
          <w:szCs w:val="22"/>
        </w:rPr>
        <w:t>Estudiar técnicamente la posibilidad de disminuir los tiempos de renominación, acercándolos a los tiempos del sector eléctrico.</w:t>
      </w:r>
    </w:p>
    <w:p w14:paraId="047A1CAB" w14:textId="77777777" w:rsidR="00511962" w:rsidRPr="00E94436" w:rsidRDefault="00511962" w:rsidP="00E94436">
      <w:pPr>
        <w:jc w:val="both"/>
        <w:rPr>
          <w:rFonts w:ascii="Verdana" w:hAnsi="Verdana"/>
          <w:bCs/>
          <w:sz w:val="22"/>
          <w:szCs w:val="22"/>
        </w:rPr>
      </w:pPr>
    </w:p>
    <w:p w14:paraId="2A165909" w14:textId="2AB96E2A" w:rsidR="00511962" w:rsidRPr="00D3052A" w:rsidRDefault="00511962">
      <w:pPr>
        <w:pStyle w:val="Prrafodelista"/>
        <w:numPr>
          <w:ilvl w:val="0"/>
          <w:numId w:val="32"/>
        </w:numPr>
        <w:jc w:val="both"/>
        <w:rPr>
          <w:rFonts w:ascii="Verdana" w:hAnsi="Verdana"/>
          <w:bCs/>
          <w:sz w:val="22"/>
          <w:szCs w:val="22"/>
        </w:rPr>
      </w:pPr>
      <w:r w:rsidRPr="00D3052A">
        <w:rPr>
          <w:rFonts w:ascii="Verdana" w:hAnsi="Verdana"/>
          <w:bCs/>
          <w:sz w:val="22"/>
          <w:szCs w:val="22"/>
        </w:rPr>
        <w:t xml:space="preserve">Extender el "parqueo" para diferentes situaciones y estudiar la posibilidad de construir nueva infraestructura de almacenamiento, brindando flexibilidad al sector eléctrico. </w:t>
      </w:r>
    </w:p>
    <w:p w14:paraId="53C2A92A" w14:textId="77777777" w:rsidR="00511962" w:rsidRPr="00D3052A" w:rsidRDefault="00511962" w:rsidP="00E94436">
      <w:pPr>
        <w:pStyle w:val="Prrafodelista"/>
        <w:ind w:left="720"/>
        <w:jc w:val="both"/>
        <w:rPr>
          <w:rFonts w:ascii="Verdana" w:hAnsi="Verdana"/>
          <w:bCs/>
          <w:sz w:val="22"/>
          <w:szCs w:val="22"/>
        </w:rPr>
      </w:pPr>
    </w:p>
    <w:p w14:paraId="79DEF071" w14:textId="71408887" w:rsidR="00511962" w:rsidRPr="00D3052A" w:rsidRDefault="00511962">
      <w:pPr>
        <w:pStyle w:val="Prrafodelista"/>
        <w:numPr>
          <w:ilvl w:val="0"/>
          <w:numId w:val="32"/>
        </w:numPr>
        <w:jc w:val="both"/>
        <w:rPr>
          <w:rFonts w:ascii="Verdana" w:hAnsi="Verdana"/>
          <w:bCs/>
          <w:sz w:val="22"/>
          <w:szCs w:val="22"/>
        </w:rPr>
      </w:pPr>
      <w:r w:rsidRPr="00D3052A">
        <w:rPr>
          <w:rFonts w:ascii="Verdana" w:hAnsi="Verdana"/>
          <w:bCs/>
          <w:sz w:val="22"/>
          <w:szCs w:val="22"/>
        </w:rPr>
        <w:t xml:space="preserve">Estudiar técnica, económica y regulatoriamente cual es la mejor alternativa entre: </w:t>
      </w:r>
    </w:p>
    <w:p w14:paraId="57560997" w14:textId="77777777" w:rsidR="00511962" w:rsidRPr="00D3052A" w:rsidRDefault="00511962" w:rsidP="00E94436">
      <w:pPr>
        <w:pStyle w:val="Prrafodelista"/>
        <w:ind w:left="1440"/>
        <w:jc w:val="both"/>
        <w:rPr>
          <w:rFonts w:ascii="Verdana" w:hAnsi="Verdana"/>
          <w:bCs/>
          <w:sz w:val="22"/>
          <w:szCs w:val="22"/>
        </w:rPr>
      </w:pPr>
    </w:p>
    <w:p w14:paraId="3A271AEA" w14:textId="55C08FB6" w:rsidR="00511962" w:rsidRPr="00D3052A" w:rsidRDefault="00511962">
      <w:pPr>
        <w:pStyle w:val="Prrafodelista"/>
        <w:numPr>
          <w:ilvl w:val="1"/>
          <w:numId w:val="32"/>
        </w:numPr>
        <w:jc w:val="both"/>
        <w:rPr>
          <w:rFonts w:ascii="Verdana" w:hAnsi="Verdana"/>
          <w:bCs/>
          <w:sz w:val="22"/>
          <w:szCs w:val="22"/>
        </w:rPr>
      </w:pPr>
      <w:r w:rsidRPr="00D3052A">
        <w:rPr>
          <w:rFonts w:ascii="Verdana" w:hAnsi="Verdana"/>
          <w:bCs/>
          <w:sz w:val="22"/>
          <w:szCs w:val="22"/>
        </w:rPr>
        <w:t>Acometer las inversiones necesarias para que las plantas de regasificación puedan "inicializarse" en los tiempos requeridos por el sector eléctrico. Lo anterior implica analizar y estudiar las limitaciones técnicas que presentan en su arranque.</w:t>
      </w:r>
    </w:p>
    <w:p w14:paraId="09405BF4" w14:textId="77777777" w:rsidR="00511962" w:rsidRPr="00D3052A" w:rsidRDefault="00511962">
      <w:pPr>
        <w:pStyle w:val="Prrafodelista"/>
        <w:ind w:left="1440"/>
        <w:jc w:val="both"/>
        <w:rPr>
          <w:rFonts w:ascii="Verdana" w:hAnsi="Verdana"/>
          <w:bCs/>
          <w:sz w:val="22"/>
          <w:szCs w:val="22"/>
        </w:rPr>
      </w:pPr>
    </w:p>
    <w:p w14:paraId="0514440F" w14:textId="1174B6FA" w:rsidR="00511962" w:rsidRPr="00D3052A" w:rsidRDefault="00511962">
      <w:pPr>
        <w:pStyle w:val="Prrafodelista"/>
        <w:numPr>
          <w:ilvl w:val="1"/>
          <w:numId w:val="32"/>
        </w:numPr>
        <w:jc w:val="both"/>
        <w:rPr>
          <w:rFonts w:ascii="Verdana" w:hAnsi="Verdana"/>
          <w:bCs/>
          <w:sz w:val="22"/>
          <w:szCs w:val="22"/>
        </w:rPr>
      </w:pPr>
      <w:r w:rsidRPr="00D3052A">
        <w:rPr>
          <w:rFonts w:ascii="Verdana" w:hAnsi="Verdana"/>
          <w:bCs/>
          <w:sz w:val="22"/>
          <w:szCs w:val="22"/>
        </w:rPr>
        <w:t>Otras medidas que garanticen la operación continua de las plantas de regasificación (generación obligada, servicios de regasificación, entre otros).</w:t>
      </w:r>
    </w:p>
    <w:p w14:paraId="7583B190" w14:textId="77777777" w:rsidR="00511962" w:rsidRPr="00D3052A" w:rsidRDefault="00511962">
      <w:pPr>
        <w:pStyle w:val="Prrafodelista"/>
        <w:ind w:left="360"/>
        <w:jc w:val="both"/>
        <w:rPr>
          <w:rFonts w:ascii="Verdana" w:hAnsi="Verdana"/>
          <w:bCs/>
          <w:sz w:val="22"/>
          <w:szCs w:val="22"/>
        </w:rPr>
      </w:pPr>
    </w:p>
    <w:p w14:paraId="583FD167" w14:textId="1E624189" w:rsidR="00511962" w:rsidRPr="00D3052A" w:rsidRDefault="00511962">
      <w:pPr>
        <w:pStyle w:val="Prrafodelista"/>
        <w:numPr>
          <w:ilvl w:val="0"/>
          <w:numId w:val="32"/>
        </w:numPr>
        <w:jc w:val="both"/>
        <w:rPr>
          <w:rFonts w:ascii="Verdana" w:hAnsi="Verdana"/>
          <w:bCs/>
          <w:sz w:val="22"/>
          <w:szCs w:val="22"/>
        </w:rPr>
      </w:pPr>
      <w:r w:rsidRPr="00D3052A">
        <w:rPr>
          <w:rFonts w:ascii="Verdana" w:hAnsi="Verdana"/>
          <w:bCs/>
          <w:sz w:val="22"/>
          <w:szCs w:val="22"/>
        </w:rPr>
        <w:t>Viabilizar en situaciones de emergencia, las variaciones de salida netas negativas cuando el SIN necesite más gas del contratado por el/</w:t>
      </w:r>
      <w:r w:rsidR="00E94436" w:rsidRPr="00D3052A">
        <w:rPr>
          <w:rFonts w:ascii="Verdana" w:hAnsi="Verdana"/>
          <w:bCs/>
          <w:sz w:val="22"/>
          <w:szCs w:val="22"/>
        </w:rPr>
        <w:t>los generadores</w:t>
      </w:r>
      <w:r w:rsidRPr="00D3052A">
        <w:rPr>
          <w:rFonts w:ascii="Verdana" w:hAnsi="Verdana"/>
          <w:bCs/>
          <w:sz w:val="22"/>
          <w:szCs w:val="22"/>
        </w:rPr>
        <w:t>/es, siempre que no pongan en riesgo la estabilidad operativa del SNT.</w:t>
      </w:r>
    </w:p>
    <w:p w14:paraId="43DAE935" w14:textId="77777777" w:rsidR="00853B5D" w:rsidRPr="00D3052A" w:rsidRDefault="00853B5D" w:rsidP="00E94436">
      <w:pPr>
        <w:pStyle w:val="Prrafodelista"/>
        <w:ind w:left="720"/>
        <w:jc w:val="both"/>
        <w:rPr>
          <w:rFonts w:ascii="Verdana" w:hAnsi="Verdana"/>
          <w:bCs/>
          <w:sz w:val="22"/>
          <w:szCs w:val="22"/>
        </w:rPr>
      </w:pPr>
    </w:p>
    <w:p w14:paraId="01D42307" w14:textId="40317749" w:rsidR="00511962" w:rsidRPr="00D3052A" w:rsidRDefault="00511962">
      <w:pPr>
        <w:pStyle w:val="Prrafodelista"/>
        <w:numPr>
          <w:ilvl w:val="0"/>
          <w:numId w:val="32"/>
        </w:numPr>
        <w:jc w:val="both"/>
        <w:rPr>
          <w:rFonts w:ascii="Verdana" w:hAnsi="Verdana"/>
          <w:bCs/>
          <w:sz w:val="22"/>
          <w:szCs w:val="22"/>
        </w:rPr>
      </w:pPr>
      <w:r w:rsidRPr="00D3052A">
        <w:rPr>
          <w:rFonts w:ascii="Verdana" w:hAnsi="Verdana"/>
          <w:bCs/>
          <w:sz w:val="22"/>
          <w:szCs w:val="22"/>
        </w:rPr>
        <w:t>Definir desde la regulación una causal de redespacho y posibilidad de autorizar desviaciones, cuando se requiera por restricciones del SNT.</w:t>
      </w:r>
    </w:p>
    <w:p w14:paraId="44BA0DFA" w14:textId="77777777" w:rsidR="00853B5D" w:rsidRPr="00E94436" w:rsidRDefault="00853B5D" w:rsidP="00E94436">
      <w:pPr>
        <w:jc w:val="both"/>
        <w:rPr>
          <w:rFonts w:ascii="Verdana" w:hAnsi="Verdana"/>
          <w:bCs/>
          <w:sz w:val="22"/>
          <w:szCs w:val="22"/>
        </w:rPr>
      </w:pPr>
    </w:p>
    <w:p w14:paraId="21A2A722" w14:textId="1D3EDEE9" w:rsidR="00511962" w:rsidRPr="00D3052A" w:rsidRDefault="00511962">
      <w:pPr>
        <w:pStyle w:val="Prrafodelista"/>
        <w:numPr>
          <w:ilvl w:val="0"/>
          <w:numId w:val="32"/>
        </w:numPr>
        <w:jc w:val="both"/>
        <w:rPr>
          <w:rFonts w:ascii="Verdana" w:hAnsi="Verdana"/>
          <w:bCs/>
          <w:sz w:val="22"/>
          <w:szCs w:val="22"/>
        </w:rPr>
      </w:pPr>
      <w:r w:rsidRPr="00D3052A">
        <w:rPr>
          <w:rFonts w:ascii="Verdana" w:hAnsi="Verdana"/>
          <w:bCs/>
          <w:sz w:val="22"/>
          <w:szCs w:val="22"/>
        </w:rPr>
        <w:t>Implementación del despacho vinculante y el mercado intradiario, considerando la coordinación gas-electricidad.</w:t>
      </w:r>
    </w:p>
    <w:p w14:paraId="0FFA52BC" w14:textId="77777777" w:rsidR="00853B5D" w:rsidRPr="00E94436" w:rsidRDefault="00853B5D" w:rsidP="00E94436">
      <w:pPr>
        <w:jc w:val="both"/>
        <w:rPr>
          <w:rFonts w:ascii="Verdana" w:hAnsi="Verdana"/>
          <w:bCs/>
          <w:sz w:val="22"/>
          <w:szCs w:val="22"/>
        </w:rPr>
      </w:pPr>
    </w:p>
    <w:p w14:paraId="35E50807" w14:textId="3921A657" w:rsidR="00511962" w:rsidRPr="00D3052A" w:rsidRDefault="00511962">
      <w:pPr>
        <w:pStyle w:val="Prrafodelista"/>
        <w:numPr>
          <w:ilvl w:val="0"/>
          <w:numId w:val="32"/>
        </w:numPr>
        <w:jc w:val="both"/>
        <w:rPr>
          <w:rFonts w:ascii="Verdana" w:hAnsi="Verdana"/>
          <w:bCs/>
          <w:sz w:val="22"/>
          <w:szCs w:val="22"/>
        </w:rPr>
      </w:pPr>
      <w:r w:rsidRPr="00D3052A">
        <w:rPr>
          <w:rFonts w:ascii="Verdana" w:hAnsi="Verdana"/>
          <w:bCs/>
          <w:sz w:val="22"/>
          <w:szCs w:val="22"/>
        </w:rPr>
        <w:t>Considerar en el planeamiento operativo y de la expansión (energético y de potencia), las restricciones que se imponen mutuamente los dos sectores.</w:t>
      </w:r>
    </w:p>
    <w:p w14:paraId="5AF71A11" w14:textId="77777777" w:rsidR="00853B5D" w:rsidRPr="00E94436" w:rsidRDefault="00853B5D" w:rsidP="00E94436">
      <w:pPr>
        <w:jc w:val="both"/>
        <w:rPr>
          <w:rFonts w:ascii="Verdana" w:hAnsi="Verdana"/>
          <w:bCs/>
          <w:sz w:val="22"/>
          <w:szCs w:val="22"/>
        </w:rPr>
      </w:pPr>
    </w:p>
    <w:p w14:paraId="5E15E223" w14:textId="4AD6926B" w:rsidR="00511962" w:rsidRPr="00D3052A" w:rsidRDefault="00511962">
      <w:pPr>
        <w:pStyle w:val="Prrafodelista"/>
        <w:numPr>
          <w:ilvl w:val="0"/>
          <w:numId w:val="32"/>
        </w:numPr>
        <w:jc w:val="both"/>
        <w:rPr>
          <w:rFonts w:ascii="Verdana" w:hAnsi="Verdana"/>
          <w:bCs/>
          <w:sz w:val="22"/>
          <w:szCs w:val="22"/>
        </w:rPr>
      </w:pPr>
      <w:r w:rsidRPr="00D3052A">
        <w:rPr>
          <w:rFonts w:ascii="Verdana" w:hAnsi="Verdana"/>
          <w:bCs/>
          <w:sz w:val="22"/>
          <w:szCs w:val="22"/>
        </w:rPr>
        <w:t xml:space="preserve">Desde la regulación, existencia de un </w:t>
      </w:r>
      <w:r w:rsidR="00853B5D" w:rsidRPr="00D3052A">
        <w:rPr>
          <w:rFonts w:ascii="Verdana" w:hAnsi="Verdana"/>
          <w:bCs/>
          <w:sz w:val="22"/>
          <w:szCs w:val="22"/>
        </w:rPr>
        <w:t>procedimiento formal de intercambio de información</w:t>
      </w:r>
      <w:r w:rsidRPr="00D3052A">
        <w:rPr>
          <w:rFonts w:ascii="Verdana" w:hAnsi="Verdana"/>
          <w:bCs/>
          <w:sz w:val="22"/>
          <w:szCs w:val="22"/>
        </w:rPr>
        <w:t xml:space="preserve"> entre los sectores de gas y electricidad.</w:t>
      </w:r>
      <w:r w:rsidR="00853B5D" w:rsidRPr="00D3052A">
        <w:rPr>
          <w:rFonts w:ascii="Verdana" w:hAnsi="Verdana"/>
          <w:bCs/>
          <w:sz w:val="22"/>
          <w:szCs w:val="22"/>
        </w:rPr>
        <w:t xml:space="preserve"> Ello incluye coordinación entre operadores eléctricos y de gas</w:t>
      </w:r>
      <w:r w:rsidR="00D356FB" w:rsidRPr="00D3052A">
        <w:rPr>
          <w:rFonts w:ascii="Verdana" w:hAnsi="Verdana"/>
          <w:bCs/>
          <w:sz w:val="22"/>
          <w:szCs w:val="22"/>
        </w:rPr>
        <w:t xml:space="preserve"> </w:t>
      </w:r>
      <w:r w:rsidR="00853B5D" w:rsidRPr="00D3052A">
        <w:rPr>
          <w:rFonts w:ascii="Verdana" w:hAnsi="Verdana"/>
          <w:bCs/>
          <w:sz w:val="22"/>
          <w:szCs w:val="22"/>
        </w:rPr>
        <w:t xml:space="preserve">en los diferentes </w:t>
      </w:r>
      <w:r w:rsidR="00D356FB" w:rsidRPr="00D3052A">
        <w:rPr>
          <w:rFonts w:ascii="Verdana" w:hAnsi="Verdana"/>
          <w:bCs/>
          <w:sz w:val="22"/>
          <w:szCs w:val="22"/>
        </w:rPr>
        <w:t xml:space="preserve">horizontes y </w:t>
      </w:r>
      <w:r w:rsidR="00853B5D" w:rsidRPr="00D3052A">
        <w:rPr>
          <w:rFonts w:ascii="Verdana" w:hAnsi="Verdana"/>
          <w:bCs/>
          <w:sz w:val="22"/>
          <w:szCs w:val="22"/>
        </w:rPr>
        <w:t>escenarios</w:t>
      </w:r>
      <w:r w:rsidR="00D356FB" w:rsidRPr="00D3052A">
        <w:rPr>
          <w:rFonts w:ascii="Verdana" w:hAnsi="Verdana"/>
          <w:bCs/>
          <w:sz w:val="22"/>
          <w:szCs w:val="22"/>
        </w:rPr>
        <w:t>.</w:t>
      </w:r>
    </w:p>
    <w:p w14:paraId="59D38403" w14:textId="77777777" w:rsidR="00D356FB" w:rsidRPr="00E94436" w:rsidRDefault="00D356FB" w:rsidP="00E94436">
      <w:pPr>
        <w:pStyle w:val="Prrafodelista"/>
        <w:jc w:val="both"/>
        <w:rPr>
          <w:rFonts w:ascii="Verdana" w:hAnsi="Verdana"/>
          <w:bCs/>
          <w:sz w:val="22"/>
          <w:szCs w:val="22"/>
        </w:rPr>
      </w:pPr>
    </w:p>
    <w:p w14:paraId="24BBF5DA" w14:textId="6C3FE3DE" w:rsidR="00D356FB" w:rsidRPr="00E94436" w:rsidRDefault="00D356FB" w:rsidP="00E94436">
      <w:pPr>
        <w:pStyle w:val="Prrafodelista"/>
        <w:ind w:left="360"/>
        <w:jc w:val="both"/>
        <w:rPr>
          <w:rFonts w:ascii="Verdana" w:hAnsi="Verdana"/>
          <w:bCs/>
          <w:sz w:val="22"/>
          <w:szCs w:val="22"/>
        </w:rPr>
      </w:pPr>
      <w:r w:rsidRPr="00D3052A">
        <w:rPr>
          <w:rFonts w:ascii="Verdana" w:hAnsi="Verdana"/>
          <w:bCs/>
          <w:sz w:val="22"/>
          <w:szCs w:val="22"/>
        </w:rPr>
        <w:t>Adicionalmente, está en revisión del Subcomité de Plantas</w:t>
      </w:r>
      <w:r w:rsidR="00555D67" w:rsidRPr="00D3052A">
        <w:rPr>
          <w:rFonts w:ascii="Verdana" w:hAnsi="Verdana"/>
          <w:bCs/>
          <w:sz w:val="22"/>
          <w:szCs w:val="22"/>
        </w:rPr>
        <w:t xml:space="preserve"> las fechas para la culminación de los documentos y propuestas conjuntas a ser enviadas a la CREG.  </w:t>
      </w:r>
      <w:r w:rsidRPr="00D3052A">
        <w:rPr>
          <w:rFonts w:ascii="Verdana" w:hAnsi="Verdana"/>
          <w:bCs/>
          <w:sz w:val="22"/>
          <w:szCs w:val="22"/>
        </w:rPr>
        <w:t xml:space="preserve"> </w:t>
      </w:r>
    </w:p>
    <w:p w14:paraId="1979991A" w14:textId="77777777" w:rsidR="008916B0" w:rsidRPr="00D3052A" w:rsidRDefault="008916B0" w:rsidP="00E94436">
      <w:pPr>
        <w:pStyle w:val="Prrafodelista"/>
        <w:ind w:left="360"/>
        <w:jc w:val="both"/>
        <w:rPr>
          <w:rFonts w:ascii="Verdana" w:hAnsi="Verdana"/>
          <w:bCs/>
          <w:sz w:val="22"/>
          <w:szCs w:val="22"/>
        </w:rPr>
      </w:pPr>
    </w:p>
    <w:p w14:paraId="19145333" w14:textId="5284C6B7" w:rsidR="005C75B2" w:rsidRPr="00D3052A" w:rsidRDefault="005C75B2">
      <w:pPr>
        <w:pStyle w:val="Prrafodelista"/>
        <w:numPr>
          <w:ilvl w:val="0"/>
          <w:numId w:val="35"/>
        </w:numPr>
        <w:jc w:val="both"/>
        <w:rPr>
          <w:rFonts w:ascii="Verdana" w:hAnsi="Verdana"/>
          <w:bCs/>
          <w:sz w:val="22"/>
          <w:szCs w:val="22"/>
        </w:rPr>
      </w:pPr>
      <w:r w:rsidRPr="00D3052A">
        <w:rPr>
          <w:rFonts w:ascii="Verdana" w:hAnsi="Verdana"/>
          <w:bCs/>
          <w:sz w:val="22"/>
          <w:szCs w:val="22"/>
        </w:rPr>
        <w:t>R</w:t>
      </w:r>
      <w:r w:rsidR="008D6CC0" w:rsidRPr="00D3052A">
        <w:rPr>
          <w:rFonts w:ascii="Verdana" w:hAnsi="Verdana"/>
          <w:bCs/>
          <w:sz w:val="22"/>
          <w:szCs w:val="22"/>
        </w:rPr>
        <w:t xml:space="preserve">especto a </w:t>
      </w:r>
      <w:r w:rsidR="00A642A5" w:rsidRPr="00D3052A">
        <w:rPr>
          <w:rFonts w:ascii="Verdana" w:hAnsi="Verdana"/>
          <w:bCs/>
          <w:sz w:val="22"/>
          <w:szCs w:val="22"/>
        </w:rPr>
        <w:t xml:space="preserve">la </w:t>
      </w:r>
      <w:r w:rsidR="00F3476A" w:rsidRPr="00D3052A">
        <w:rPr>
          <w:rFonts w:ascii="Verdana" w:hAnsi="Verdana"/>
          <w:bCs/>
          <w:sz w:val="22"/>
          <w:szCs w:val="22"/>
        </w:rPr>
        <w:t>Resolución CREG 200 de 2019</w:t>
      </w:r>
      <w:r w:rsidR="00A642A5" w:rsidRPr="00D3052A">
        <w:rPr>
          <w:rFonts w:ascii="Verdana" w:hAnsi="Verdana"/>
          <w:bCs/>
          <w:sz w:val="22"/>
          <w:szCs w:val="22"/>
        </w:rPr>
        <w:t>, “</w:t>
      </w:r>
      <w:r w:rsidR="00A642A5" w:rsidRPr="00D3052A">
        <w:rPr>
          <w:rFonts w:ascii="Verdana" w:hAnsi="Verdana"/>
          <w:bCs/>
          <w:i/>
          <w:iCs/>
          <w:sz w:val="22"/>
          <w:szCs w:val="22"/>
        </w:rPr>
        <w:t>por la cual se define un esquema para permitir que los generadores puedan compartir activos de conexión al SIN</w:t>
      </w:r>
      <w:r w:rsidR="00A642A5" w:rsidRPr="00D3052A">
        <w:rPr>
          <w:rFonts w:ascii="Verdana" w:hAnsi="Verdana"/>
          <w:bCs/>
          <w:sz w:val="22"/>
          <w:szCs w:val="22"/>
        </w:rPr>
        <w:t>”</w:t>
      </w:r>
      <w:r w:rsidRPr="00D3052A">
        <w:rPr>
          <w:rFonts w:ascii="Verdana" w:hAnsi="Verdana"/>
          <w:bCs/>
          <w:sz w:val="22"/>
          <w:szCs w:val="22"/>
        </w:rPr>
        <w:t xml:space="preserve">, se está revisando en cada uno de </w:t>
      </w:r>
      <w:r w:rsidRPr="00D3052A">
        <w:rPr>
          <w:rFonts w:ascii="Verdana" w:hAnsi="Verdana"/>
          <w:bCs/>
          <w:sz w:val="22"/>
          <w:szCs w:val="22"/>
        </w:rPr>
        <w:lastRenderedPageBreak/>
        <w:t xml:space="preserve">los Subcomités y Comités los Acuerdos que serían objeto de modificación, </w:t>
      </w:r>
      <w:r w:rsidR="003E2D64" w:rsidRPr="00D3052A">
        <w:rPr>
          <w:rFonts w:ascii="Verdana" w:hAnsi="Verdana"/>
          <w:bCs/>
          <w:sz w:val="22"/>
          <w:szCs w:val="22"/>
        </w:rPr>
        <w:t>relacionados con los procedimientos para la entrada en operación de plantas de generación que se conectan al SIN o para la ejecución de pruebas.</w:t>
      </w:r>
      <w:r w:rsidRPr="00D3052A">
        <w:rPr>
          <w:rFonts w:ascii="Verdana" w:hAnsi="Verdana"/>
          <w:bCs/>
          <w:sz w:val="22"/>
          <w:szCs w:val="22"/>
        </w:rPr>
        <w:t xml:space="preserve"> </w:t>
      </w:r>
    </w:p>
    <w:p w14:paraId="18CDD7BB" w14:textId="77777777" w:rsidR="005C75B2" w:rsidRPr="00D3052A" w:rsidRDefault="005C75B2">
      <w:pPr>
        <w:pStyle w:val="Prrafodelista"/>
        <w:ind w:left="360"/>
        <w:jc w:val="both"/>
        <w:rPr>
          <w:rFonts w:ascii="Verdana" w:hAnsi="Verdana"/>
          <w:bCs/>
          <w:sz w:val="22"/>
          <w:szCs w:val="22"/>
        </w:rPr>
      </w:pPr>
    </w:p>
    <w:p w14:paraId="14CE83DF" w14:textId="7EF34F4B" w:rsidR="00D356FB" w:rsidRPr="00D3052A" w:rsidRDefault="005C75B2" w:rsidP="00E94436">
      <w:pPr>
        <w:pStyle w:val="Prrafodelista"/>
        <w:ind w:left="360"/>
        <w:jc w:val="both"/>
        <w:rPr>
          <w:rFonts w:ascii="Verdana" w:hAnsi="Verdana"/>
          <w:bCs/>
          <w:sz w:val="22"/>
          <w:szCs w:val="22"/>
        </w:rPr>
      </w:pPr>
      <w:r w:rsidRPr="00D3052A">
        <w:rPr>
          <w:rFonts w:ascii="Verdana" w:hAnsi="Verdana"/>
          <w:bCs/>
          <w:sz w:val="22"/>
          <w:szCs w:val="22"/>
        </w:rPr>
        <w:t xml:space="preserve">Asimismo, se recomendó a XM tener en cuenta varios aspectos técnicos </w:t>
      </w:r>
      <w:r w:rsidR="00FF7C00" w:rsidRPr="00D3052A">
        <w:rPr>
          <w:rFonts w:ascii="Verdana" w:hAnsi="Verdana"/>
          <w:bCs/>
          <w:sz w:val="22"/>
          <w:szCs w:val="22"/>
        </w:rPr>
        <w:t xml:space="preserve">en </w:t>
      </w:r>
      <w:r w:rsidRPr="00D3052A">
        <w:rPr>
          <w:rFonts w:ascii="Verdana" w:hAnsi="Verdana"/>
          <w:bCs/>
          <w:sz w:val="22"/>
          <w:szCs w:val="22"/>
        </w:rPr>
        <w:t>la propuesta que el ASIC debe formular en relación a los</w:t>
      </w:r>
      <w:r w:rsidR="00FF7C00" w:rsidRPr="00D3052A">
        <w:rPr>
          <w:rFonts w:ascii="Verdana" w:hAnsi="Verdana"/>
          <w:bCs/>
          <w:sz w:val="22"/>
          <w:szCs w:val="22"/>
        </w:rPr>
        <w:t xml:space="preserve"> </w:t>
      </w:r>
      <w:r w:rsidRPr="00D3052A">
        <w:rPr>
          <w:rFonts w:ascii="Verdana" w:hAnsi="Verdana"/>
          <w:bCs/>
          <w:sz w:val="22"/>
          <w:szCs w:val="22"/>
        </w:rPr>
        <w:t>Acuerdos de conexión compartida entre generadores-ACCG</w:t>
      </w:r>
      <w:r w:rsidR="00FF7C00" w:rsidRPr="00D3052A">
        <w:rPr>
          <w:rFonts w:ascii="Verdana" w:hAnsi="Verdana"/>
          <w:bCs/>
          <w:sz w:val="22"/>
          <w:szCs w:val="22"/>
        </w:rPr>
        <w:t xml:space="preserve">, como límites a la agregación si se identifica que una contingencia sencilla en un activo de conexión puede generar eventos de frecuencia significativos en el SIN, o el control coordinado entre generadores. </w:t>
      </w:r>
      <w:r w:rsidR="00C62691" w:rsidRPr="00D3052A">
        <w:rPr>
          <w:rFonts w:ascii="Verdana" w:hAnsi="Verdana"/>
          <w:bCs/>
          <w:sz w:val="22"/>
          <w:szCs w:val="22"/>
        </w:rPr>
        <w:t xml:space="preserve">   </w:t>
      </w:r>
      <w:r w:rsidR="00865EB8" w:rsidRPr="00D3052A">
        <w:rPr>
          <w:rFonts w:ascii="Verdana" w:hAnsi="Verdana"/>
          <w:bCs/>
          <w:sz w:val="22"/>
          <w:szCs w:val="22"/>
        </w:rPr>
        <w:t xml:space="preserve"> </w:t>
      </w:r>
    </w:p>
    <w:p w14:paraId="4AEC63ED" w14:textId="77777777" w:rsidR="00D356FB" w:rsidRPr="00E94436" w:rsidRDefault="00D356FB" w:rsidP="00E94436">
      <w:pPr>
        <w:pStyle w:val="Prrafodelista"/>
        <w:ind w:left="360"/>
        <w:jc w:val="both"/>
        <w:rPr>
          <w:rFonts w:ascii="Verdana" w:hAnsi="Verdana"/>
          <w:bCs/>
          <w:sz w:val="22"/>
          <w:szCs w:val="22"/>
        </w:rPr>
      </w:pPr>
    </w:p>
    <w:p w14:paraId="71E43A29" w14:textId="5AA2EC82" w:rsidR="003E7004" w:rsidRPr="00D3052A" w:rsidRDefault="007A0C35">
      <w:pPr>
        <w:pStyle w:val="Prrafodelista"/>
        <w:numPr>
          <w:ilvl w:val="0"/>
          <w:numId w:val="35"/>
        </w:numPr>
        <w:jc w:val="both"/>
        <w:rPr>
          <w:rFonts w:ascii="Verdana" w:hAnsi="Verdana"/>
          <w:bCs/>
          <w:sz w:val="22"/>
          <w:szCs w:val="22"/>
        </w:rPr>
      </w:pPr>
      <w:r w:rsidRPr="00E94436">
        <w:rPr>
          <w:rFonts w:ascii="Verdana" w:hAnsi="Verdana"/>
          <w:bCs/>
          <w:sz w:val="22"/>
          <w:szCs w:val="22"/>
        </w:rPr>
        <w:t xml:space="preserve">El CND presentó en el Comité de Operación </w:t>
      </w:r>
      <w:r w:rsidR="00FF7C00" w:rsidRPr="00D3052A">
        <w:rPr>
          <w:rFonts w:ascii="Verdana" w:hAnsi="Verdana"/>
          <w:bCs/>
          <w:sz w:val="22"/>
          <w:szCs w:val="22"/>
        </w:rPr>
        <w:t xml:space="preserve">las alternativas de mitigación a la situación operativa de la subárea Valle por el incremento de la capacidad de generación y las reconfiguraciones topológicas en algunas subestaciones del STN y STR para reducir el nivel de cortocircuito. </w:t>
      </w:r>
      <w:r w:rsidR="003E7004" w:rsidRPr="00D3052A">
        <w:rPr>
          <w:rFonts w:ascii="Verdana" w:hAnsi="Verdana"/>
          <w:bCs/>
          <w:sz w:val="22"/>
          <w:szCs w:val="22"/>
        </w:rPr>
        <w:t>Se</w:t>
      </w:r>
      <w:r w:rsidR="00FF7C00" w:rsidRPr="00D3052A">
        <w:rPr>
          <w:rFonts w:ascii="Verdana" w:hAnsi="Verdana"/>
          <w:bCs/>
          <w:sz w:val="22"/>
          <w:szCs w:val="22"/>
        </w:rPr>
        <w:t xml:space="preserve"> mencionó que se están estudiando traslados de cargas óptimos en algunas subestaciones, incremento de capacidad de transporte en algunas líneas a 115 kV y la posibilidad de </w:t>
      </w:r>
      <w:r w:rsidR="003E7004" w:rsidRPr="00D3052A">
        <w:rPr>
          <w:rFonts w:ascii="Verdana" w:hAnsi="Verdana"/>
          <w:bCs/>
          <w:sz w:val="22"/>
          <w:szCs w:val="22"/>
        </w:rPr>
        <w:t>instalar</w:t>
      </w:r>
      <w:r w:rsidR="00FF7C00" w:rsidRPr="00D3052A">
        <w:rPr>
          <w:rFonts w:ascii="Verdana" w:hAnsi="Verdana"/>
          <w:bCs/>
          <w:sz w:val="22"/>
          <w:szCs w:val="22"/>
        </w:rPr>
        <w:t xml:space="preserve"> un mecanismo DLR-Dynamic </w:t>
      </w:r>
      <w:r w:rsidR="00FF7C00" w:rsidRPr="00E94436">
        <w:rPr>
          <w:rFonts w:ascii="Verdana" w:hAnsi="Verdana"/>
          <w:bCs/>
          <w:sz w:val="22"/>
          <w:szCs w:val="22"/>
        </w:rPr>
        <w:t>Line Rating</w:t>
      </w:r>
      <w:r w:rsidR="00FF7C00" w:rsidRPr="00D3052A">
        <w:rPr>
          <w:rFonts w:ascii="Verdana" w:hAnsi="Verdana"/>
          <w:bCs/>
          <w:sz w:val="22"/>
          <w:szCs w:val="22"/>
        </w:rPr>
        <w:t>, lo anterior dada las dificultades identificadas para la</w:t>
      </w:r>
      <w:r w:rsidR="003E7004" w:rsidRPr="00D3052A">
        <w:rPr>
          <w:rFonts w:ascii="Verdana" w:hAnsi="Verdana"/>
          <w:bCs/>
          <w:sz w:val="22"/>
          <w:szCs w:val="22"/>
        </w:rPr>
        <w:t xml:space="preserve"> implementación de un Esquema Suplementario tipo RAG en Termovalle y Termoemcali.</w:t>
      </w:r>
    </w:p>
    <w:p w14:paraId="7689EE3A" w14:textId="77777777" w:rsidR="003E7004" w:rsidRPr="00D3052A" w:rsidRDefault="003E7004">
      <w:pPr>
        <w:pStyle w:val="Prrafodelista"/>
        <w:ind w:left="360"/>
        <w:jc w:val="both"/>
        <w:rPr>
          <w:rFonts w:ascii="Verdana" w:hAnsi="Verdana"/>
          <w:bCs/>
          <w:sz w:val="22"/>
          <w:szCs w:val="22"/>
        </w:rPr>
      </w:pPr>
    </w:p>
    <w:p w14:paraId="1B9494F1" w14:textId="37581C02" w:rsidR="00FF7C00" w:rsidRPr="00E94436" w:rsidRDefault="003E7004" w:rsidP="00E94436">
      <w:pPr>
        <w:pStyle w:val="Prrafodelista"/>
        <w:ind w:left="360"/>
        <w:jc w:val="both"/>
        <w:rPr>
          <w:rFonts w:ascii="Verdana" w:hAnsi="Verdana"/>
          <w:bCs/>
          <w:sz w:val="22"/>
          <w:szCs w:val="22"/>
        </w:rPr>
      </w:pPr>
      <w:r w:rsidRPr="00D3052A">
        <w:rPr>
          <w:rFonts w:ascii="Verdana" w:hAnsi="Verdana"/>
          <w:bCs/>
          <w:sz w:val="22"/>
          <w:szCs w:val="22"/>
        </w:rPr>
        <w:t>Asimismo, se acordó que CELSIA Colombia presentaría en el Subcomité de Análisis y Planeación Eléctrica sus análisis, ya que la UPME mencionó que, al considerar la red de distribución en el Modelo Eléctrico, situación que fue tenida en cuenta por la Unidad en la emisión de su concepto, las limitaciones a la generación identificadas por el CND no se presentarían.</w:t>
      </w:r>
    </w:p>
    <w:p w14:paraId="013F623D" w14:textId="77777777" w:rsidR="00D356FB" w:rsidRPr="00E94436" w:rsidRDefault="00D356FB" w:rsidP="00E94436">
      <w:pPr>
        <w:jc w:val="both"/>
        <w:rPr>
          <w:rFonts w:ascii="Verdana" w:hAnsi="Verdana"/>
          <w:bCs/>
          <w:sz w:val="22"/>
          <w:szCs w:val="22"/>
        </w:rPr>
      </w:pPr>
    </w:p>
    <w:p w14:paraId="7EAF1EA6" w14:textId="6A15B135" w:rsidR="003D234B" w:rsidRPr="00D3052A" w:rsidRDefault="003E7004">
      <w:pPr>
        <w:pStyle w:val="Prrafodelista"/>
        <w:numPr>
          <w:ilvl w:val="0"/>
          <w:numId w:val="35"/>
        </w:numPr>
        <w:jc w:val="both"/>
        <w:rPr>
          <w:rFonts w:ascii="Verdana" w:hAnsi="Verdana"/>
          <w:bCs/>
          <w:sz w:val="22"/>
          <w:szCs w:val="22"/>
        </w:rPr>
      </w:pPr>
      <w:r w:rsidRPr="00D3052A">
        <w:rPr>
          <w:rFonts w:ascii="Verdana" w:hAnsi="Verdana"/>
          <w:bCs/>
          <w:sz w:val="22"/>
          <w:szCs w:val="22"/>
        </w:rPr>
        <w:t xml:space="preserve">Teniendo en cuenta </w:t>
      </w:r>
      <w:r w:rsidR="00D3302F" w:rsidRPr="00D3052A">
        <w:rPr>
          <w:rFonts w:ascii="Verdana" w:hAnsi="Verdana"/>
          <w:bCs/>
          <w:sz w:val="22"/>
          <w:szCs w:val="22"/>
        </w:rPr>
        <w:t>que la CREG</w:t>
      </w:r>
      <w:r w:rsidR="00ED124F" w:rsidRPr="00E94436">
        <w:rPr>
          <w:rFonts w:ascii="Verdana" w:hAnsi="Verdana"/>
          <w:bCs/>
          <w:sz w:val="22"/>
          <w:szCs w:val="22"/>
        </w:rPr>
        <w:t xml:space="preserve"> de</w:t>
      </w:r>
      <w:r w:rsidR="00D3302F" w:rsidRPr="00D3052A">
        <w:rPr>
          <w:rFonts w:ascii="Verdana" w:hAnsi="Verdana"/>
          <w:bCs/>
          <w:sz w:val="22"/>
          <w:szCs w:val="22"/>
        </w:rPr>
        <w:t>cidi</w:t>
      </w:r>
      <w:r w:rsidR="00ED124F" w:rsidRPr="00E94436">
        <w:rPr>
          <w:rFonts w:ascii="Verdana" w:hAnsi="Verdana"/>
          <w:bCs/>
          <w:sz w:val="22"/>
          <w:szCs w:val="22"/>
        </w:rPr>
        <w:t>ó no modificar lo establec</w:t>
      </w:r>
      <w:r w:rsidR="003D234B" w:rsidRPr="00D3052A">
        <w:rPr>
          <w:rFonts w:ascii="Verdana" w:hAnsi="Verdana"/>
          <w:bCs/>
          <w:sz w:val="22"/>
          <w:szCs w:val="22"/>
        </w:rPr>
        <w:t>i</w:t>
      </w:r>
      <w:r w:rsidR="00ED124F" w:rsidRPr="00E94436">
        <w:rPr>
          <w:rFonts w:ascii="Verdana" w:hAnsi="Verdana"/>
          <w:bCs/>
          <w:sz w:val="22"/>
          <w:szCs w:val="22"/>
        </w:rPr>
        <w:t xml:space="preserve">do </w:t>
      </w:r>
      <w:r w:rsidR="003D234B" w:rsidRPr="00D3052A">
        <w:rPr>
          <w:rFonts w:ascii="Verdana" w:hAnsi="Verdana"/>
          <w:bCs/>
          <w:sz w:val="22"/>
          <w:szCs w:val="22"/>
        </w:rPr>
        <w:t xml:space="preserve">en </w:t>
      </w:r>
      <w:r w:rsidR="00D3302F" w:rsidRPr="00D3052A">
        <w:rPr>
          <w:rFonts w:ascii="Verdana" w:hAnsi="Verdana"/>
          <w:bCs/>
          <w:sz w:val="22"/>
          <w:szCs w:val="22"/>
        </w:rPr>
        <w:t xml:space="preserve">la </w:t>
      </w:r>
      <w:r w:rsidR="00ED124F" w:rsidRPr="00E94436">
        <w:rPr>
          <w:rFonts w:ascii="Verdana" w:hAnsi="Verdana"/>
          <w:bCs/>
          <w:sz w:val="22"/>
          <w:szCs w:val="22"/>
        </w:rPr>
        <w:t xml:space="preserve">Resolución 060 de </w:t>
      </w:r>
      <w:r w:rsidR="00E94436" w:rsidRPr="00E94436">
        <w:rPr>
          <w:rFonts w:ascii="Verdana" w:hAnsi="Verdana"/>
          <w:bCs/>
          <w:sz w:val="22"/>
          <w:szCs w:val="22"/>
        </w:rPr>
        <w:t>2019</w:t>
      </w:r>
      <w:r w:rsidR="00E94436" w:rsidRPr="00D3052A">
        <w:rPr>
          <w:rFonts w:ascii="Verdana" w:hAnsi="Verdana"/>
          <w:bCs/>
          <w:sz w:val="22"/>
          <w:szCs w:val="22"/>
        </w:rPr>
        <w:t xml:space="preserve"> para</w:t>
      </w:r>
      <w:r w:rsidRPr="00D3052A">
        <w:rPr>
          <w:rFonts w:ascii="Verdana" w:hAnsi="Verdana"/>
          <w:bCs/>
          <w:sz w:val="22"/>
          <w:szCs w:val="22"/>
        </w:rPr>
        <w:t xml:space="preserve"> permitir operar </w:t>
      </w:r>
      <w:r w:rsidR="00D3302F" w:rsidRPr="00D3052A">
        <w:rPr>
          <w:rFonts w:ascii="Verdana" w:hAnsi="Verdana"/>
          <w:bCs/>
          <w:sz w:val="22"/>
          <w:szCs w:val="22"/>
        </w:rPr>
        <w:t>a la planta eólica Jep</w:t>
      </w:r>
      <w:r w:rsidR="00B41BFA">
        <w:rPr>
          <w:rFonts w:ascii="Verdana" w:hAnsi="Verdana"/>
          <w:bCs/>
          <w:sz w:val="22"/>
          <w:szCs w:val="22"/>
        </w:rPr>
        <w:t>í</w:t>
      </w:r>
      <w:r w:rsidR="00D3302F" w:rsidRPr="00D3052A">
        <w:rPr>
          <w:rFonts w:ascii="Verdana" w:hAnsi="Verdana"/>
          <w:bCs/>
          <w:sz w:val="22"/>
          <w:szCs w:val="22"/>
        </w:rPr>
        <w:t>rachi hasta el año 2023 sin el cumplimiento de algunos requisitos, EPM</w:t>
      </w:r>
      <w:r w:rsidR="00BB4D96" w:rsidRPr="00E94436">
        <w:rPr>
          <w:rFonts w:ascii="Verdana" w:hAnsi="Verdana"/>
          <w:bCs/>
          <w:sz w:val="22"/>
          <w:szCs w:val="22"/>
        </w:rPr>
        <w:t xml:space="preserve"> informó en el Comité de Operación que</w:t>
      </w:r>
      <w:r w:rsidR="00D3302F" w:rsidRPr="00D3052A">
        <w:rPr>
          <w:rFonts w:ascii="Verdana" w:hAnsi="Verdana"/>
          <w:bCs/>
          <w:sz w:val="22"/>
          <w:szCs w:val="22"/>
        </w:rPr>
        <w:t>,</w:t>
      </w:r>
      <w:r w:rsidR="00BB4D96" w:rsidRPr="00E94436">
        <w:rPr>
          <w:rFonts w:ascii="Verdana" w:hAnsi="Verdana"/>
          <w:bCs/>
          <w:sz w:val="22"/>
          <w:szCs w:val="22"/>
        </w:rPr>
        <w:t xml:space="preserve"> en caso de presentarse una situación de emergencia o de riesgo para la atención de la demanda </w:t>
      </w:r>
      <w:r w:rsidR="00D3302F" w:rsidRPr="00D3052A">
        <w:rPr>
          <w:rFonts w:ascii="Verdana" w:hAnsi="Verdana"/>
          <w:bCs/>
          <w:sz w:val="22"/>
          <w:szCs w:val="22"/>
        </w:rPr>
        <w:t>de la sub</w:t>
      </w:r>
      <w:r w:rsidR="00BB4D96" w:rsidRPr="00E94436">
        <w:rPr>
          <w:rFonts w:ascii="Verdana" w:hAnsi="Verdana"/>
          <w:bCs/>
          <w:sz w:val="22"/>
          <w:szCs w:val="22"/>
        </w:rPr>
        <w:t>área</w:t>
      </w:r>
      <w:r w:rsidR="00D3302F" w:rsidRPr="00D3052A">
        <w:rPr>
          <w:rFonts w:ascii="Verdana" w:hAnsi="Verdana"/>
          <w:bCs/>
          <w:sz w:val="22"/>
          <w:szCs w:val="22"/>
        </w:rPr>
        <w:t xml:space="preserve"> GCM</w:t>
      </w:r>
      <w:r w:rsidR="00BB4D96" w:rsidRPr="00E94436">
        <w:rPr>
          <w:rFonts w:ascii="Verdana" w:hAnsi="Verdana"/>
          <w:bCs/>
          <w:sz w:val="22"/>
          <w:szCs w:val="22"/>
        </w:rPr>
        <w:t xml:space="preserve">, el CND </w:t>
      </w:r>
      <w:r w:rsidR="003D234B" w:rsidRPr="00D3052A">
        <w:rPr>
          <w:rFonts w:ascii="Verdana" w:hAnsi="Verdana"/>
          <w:bCs/>
          <w:sz w:val="22"/>
          <w:szCs w:val="22"/>
        </w:rPr>
        <w:t xml:space="preserve">le </w:t>
      </w:r>
      <w:r w:rsidR="00BB4D96" w:rsidRPr="00E94436">
        <w:rPr>
          <w:rFonts w:ascii="Verdana" w:hAnsi="Verdana"/>
          <w:bCs/>
          <w:sz w:val="22"/>
          <w:szCs w:val="22"/>
        </w:rPr>
        <w:t>puede solicitar a la planta incrementar </w:t>
      </w:r>
      <w:r w:rsidR="00D3302F" w:rsidRPr="00D3052A">
        <w:rPr>
          <w:rFonts w:ascii="Verdana" w:hAnsi="Verdana"/>
          <w:bCs/>
          <w:sz w:val="22"/>
          <w:szCs w:val="22"/>
        </w:rPr>
        <w:t xml:space="preserve">su </w:t>
      </w:r>
      <w:r w:rsidR="00BB4D96" w:rsidRPr="00E94436">
        <w:rPr>
          <w:rFonts w:ascii="Verdana" w:hAnsi="Verdana"/>
          <w:bCs/>
          <w:sz w:val="22"/>
          <w:szCs w:val="22"/>
        </w:rPr>
        <w:t>disponibilidad</w:t>
      </w:r>
      <w:r w:rsidR="00D3302F" w:rsidRPr="00D3052A">
        <w:rPr>
          <w:rFonts w:ascii="Verdana" w:hAnsi="Verdana"/>
          <w:bCs/>
          <w:sz w:val="22"/>
          <w:szCs w:val="22"/>
        </w:rPr>
        <w:t xml:space="preserve"> y generar para reducir la Demanda No Atendida-DNA</w:t>
      </w:r>
      <w:r w:rsidR="00BB4D96" w:rsidRPr="00E94436">
        <w:rPr>
          <w:rFonts w:ascii="Verdana" w:hAnsi="Verdana"/>
          <w:bCs/>
          <w:sz w:val="22"/>
          <w:szCs w:val="22"/>
        </w:rPr>
        <w:t xml:space="preserve">. </w:t>
      </w:r>
      <w:r w:rsidR="00D3302F" w:rsidRPr="00D3052A">
        <w:rPr>
          <w:rFonts w:ascii="Verdana" w:hAnsi="Verdana"/>
          <w:bCs/>
          <w:sz w:val="22"/>
          <w:szCs w:val="22"/>
        </w:rPr>
        <w:t>Es decir</w:t>
      </w:r>
      <w:r w:rsidR="00BB4D96" w:rsidRPr="00E94436">
        <w:rPr>
          <w:rFonts w:ascii="Verdana" w:hAnsi="Verdana"/>
          <w:bCs/>
          <w:sz w:val="22"/>
          <w:szCs w:val="22"/>
        </w:rPr>
        <w:t xml:space="preserve">, </w:t>
      </w:r>
      <w:r w:rsidR="00D3302F" w:rsidRPr="00D3052A">
        <w:rPr>
          <w:rFonts w:ascii="Verdana" w:hAnsi="Verdana"/>
          <w:bCs/>
          <w:sz w:val="22"/>
          <w:szCs w:val="22"/>
        </w:rPr>
        <w:t xml:space="preserve">aún </w:t>
      </w:r>
      <w:r w:rsidR="00BB4D96" w:rsidRPr="00E94436">
        <w:rPr>
          <w:rFonts w:ascii="Verdana" w:hAnsi="Verdana"/>
          <w:bCs/>
          <w:sz w:val="22"/>
          <w:szCs w:val="22"/>
        </w:rPr>
        <w:t>se</w:t>
      </w:r>
      <w:r w:rsidR="00D3302F" w:rsidRPr="00D3052A">
        <w:rPr>
          <w:rFonts w:ascii="Verdana" w:hAnsi="Verdana"/>
          <w:bCs/>
          <w:sz w:val="22"/>
          <w:szCs w:val="22"/>
        </w:rPr>
        <w:t xml:space="preserve"> está</w:t>
      </w:r>
      <w:r w:rsidR="00BB4D96" w:rsidRPr="00E94436">
        <w:rPr>
          <w:rFonts w:ascii="Verdana" w:hAnsi="Verdana"/>
          <w:bCs/>
          <w:sz w:val="22"/>
          <w:szCs w:val="22"/>
        </w:rPr>
        <w:t xml:space="preserve"> considera</w:t>
      </w:r>
      <w:r w:rsidR="00D3302F" w:rsidRPr="00D3052A">
        <w:rPr>
          <w:rFonts w:ascii="Verdana" w:hAnsi="Verdana"/>
          <w:bCs/>
          <w:sz w:val="22"/>
          <w:szCs w:val="22"/>
        </w:rPr>
        <w:t>ndo</w:t>
      </w:r>
      <w:r w:rsidR="00BB4D96" w:rsidRPr="00E94436">
        <w:rPr>
          <w:rFonts w:ascii="Verdana" w:hAnsi="Verdana"/>
          <w:bCs/>
          <w:sz w:val="22"/>
          <w:szCs w:val="22"/>
        </w:rPr>
        <w:t xml:space="preserve"> </w:t>
      </w:r>
      <w:r w:rsidR="00D3302F" w:rsidRPr="00D3052A">
        <w:rPr>
          <w:rFonts w:ascii="Verdana" w:hAnsi="Verdana"/>
          <w:bCs/>
          <w:sz w:val="22"/>
          <w:szCs w:val="22"/>
        </w:rPr>
        <w:t>a esta planta en el mercado. Al respecto</w:t>
      </w:r>
      <w:r w:rsidR="00BB4D96" w:rsidRPr="00E94436">
        <w:rPr>
          <w:rFonts w:ascii="Verdana" w:hAnsi="Verdana"/>
          <w:bCs/>
          <w:sz w:val="22"/>
          <w:szCs w:val="22"/>
        </w:rPr>
        <w:t xml:space="preserve"> EPM</w:t>
      </w:r>
      <w:r w:rsidR="003D234B" w:rsidRPr="00D3052A">
        <w:rPr>
          <w:rFonts w:ascii="Verdana" w:hAnsi="Verdana"/>
          <w:bCs/>
          <w:sz w:val="22"/>
          <w:szCs w:val="22"/>
        </w:rPr>
        <w:t xml:space="preserve"> reiteró</w:t>
      </w:r>
      <w:r w:rsidR="00BB4D96" w:rsidRPr="00E94436">
        <w:rPr>
          <w:rFonts w:ascii="Verdana" w:hAnsi="Verdana"/>
          <w:bCs/>
          <w:sz w:val="22"/>
          <w:szCs w:val="22"/>
        </w:rPr>
        <w:t xml:space="preserve"> </w:t>
      </w:r>
      <w:r w:rsidR="003D234B" w:rsidRPr="00D3052A">
        <w:rPr>
          <w:rFonts w:ascii="Verdana" w:hAnsi="Verdana"/>
          <w:bCs/>
          <w:sz w:val="22"/>
          <w:szCs w:val="22"/>
        </w:rPr>
        <w:t>que Jepírachi</w:t>
      </w:r>
      <w:r w:rsidR="00BB4D96" w:rsidRPr="00E94436">
        <w:rPr>
          <w:rFonts w:ascii="Verdana" w:hAnsi="Verdana"/>
          <w:bCs/>
          <w:sz w:val="22"/>
          <w:szCs w:val="22"/>
        </w:rPr>
        <w:t xml:space="preserve"> no cumple con los requisitos de conexión</w:t>
      </w:r>
      <w:r w:rsidR="003D234B" w:rsidRPr="00D3052A">
        <w:rPr>
          <w:rFonts w:ascii="Verdana" w:hAnsi="Verdana"/>
          <w:bCs/>
          <w:sz w:val="22"/>
          <w:szCs w:val="22"/>
        </w:rPr>
        <w:t xml:space="preserve"> de la Resolución CREG 060 de 2019</w:t>
      </w:r>
      <w:r w:rsidR="00BB4D96" w:rsidRPr="00E94436">
        <w:rPr>
          <w:rFonts w:ascii="Verdana" w:hAnsi="Verdana"/>
          <w:bCs/>
          <w:sz w:val="22"/>
          <w:szCs w:val="22"/>
        </w:rPr>
        <w:t xml:space="preserve"> y </w:t>
      </w:r>
      <w:r w:rsidR="003D234B" w:rsidRPr="00D3052A">
        <w:rPr>
          <w:rFonts w:ascii="Verdana" w:hAnsi="Verdana"/>
          <w:bCs/>
          <w:sz w:val="22"/>
          <w:szCs w:val="22"/>
        </w:rPr>
        <w:t>desconoce</w:t>
      </w:r>
      <w:r w:rsidR="00BB4D96" w:rsidRPr="00E94436">
        <w:rPr>
          <w:rFonts w:ascii="Verdana" w:hAnsi="Verdana"/>
          <w:bCs/>
          <w:sz w:val="22"/>
          <w:szCs w:val="22"/>
        </w:rPr>
        <w:t xml:space="preserve"> la implicación de operar sin cumplir con lo establecido </w:t>
      </w:r>
      <w:r w:rsidR="003D234B" w:rsidRPr="00D3052A">
        <w:rPr>
          <w:rFonts w:ascii="Verdana" w:hAnsi="Verdana"/>
          <w:bCs/>
          <w:sz w:val="22"/>
          <w:szCs w:val="22"/>
        </w:rPr>
        <w:t>por dicha</w:t>
      </w:r>
      <w:r w:rsidR="00BB4D96" w:rsidRPr="00E94436">
        <w:rPr>
          <w:rFonts w:ascii="Verdana" w:hAnsi="Verdana"/>
          <w:bCs/>
          <w:sz w:val="22"/>
          <w:szCs w:val="22"/>
        </w:rPr>
        <w:t xml:space="preserve"> Resolución</w:t>
      </w:r>
      <w:r w:rsidR="003D234B" w:rsidRPr="00D3052A">
        <w:rPr>
          <w:rFonts w:ascii="Verdana" w:hAnsi="Verdana"/>
          <w:bCs/>
          <w:sz w:val="22"/>
          <w:szCs w:val="22"/>
        </w:rPr>
        <w:t xml:space="preserve">. </w:t>
      </w:r>
      <w:r w:rsidR="00BB4D96" w:rsidRPr="00E94436">
        <w:rPr>
          <w:rFonts w:ascii="Verdana" w:hAnsi="Verdana"/>
          <w:bCs/>
          <w:sz w:val="22"/>
          <w:szCs w:val="22"/>
        </w:rPr>
        <w:t xml:space="preserve">Adicionalmente, </w:t>
      </w:r>
      <w:r w:rsidR="003D234B" w:rsidRPr="00D3052A">
        <w:rPr>
          <w:rFonts w:ascii="Verdana" w:hAnsi="Verdana"/>
          <w:bCs/>
          <w:sz w:val="22"/>
          <w:szCs w:val="22"/>
        </w:rPr>
        <w:t>informó</w:t>
      </w:r>
      <w:r w:rsidR="00BB4D96" w:rsidRPr="00E94436">
        <w:rPr>
          <w:rFonts w:ascii="Verdana" w:hAnsi="Verdana"/>
          <w:bCs/>
          <w:sz w:val="22"/>
          <w:szCs w:val="22"/>
        </w:rPr>
        <w:t xml:space="preserve"> que la fecha de retiro de la planta es incierta</w:t>
      </w:r>
      <w:r w:rsidR="003D234B" w:rsidRPr="00D3052A">
        <w:rPr>
          <w:rFonts w:ascii="Verdana" w:hAnsi="Verdana"/>
          <w:bCs/>
          <w:sz w:val="22"/>
          <w:szCs w:val="22"/>
        </w:rPr>
        <w:t>,</w:t>
      </w:r>
      <w:r w:rsidR="00BB4D96" w:rsidRPr="00E94436">
        <w:rPr>
          <w:rFonts w:ascii="Verdana" w:hAnsi="Verdana"/>
          <w:bCs/>
          <w:sz w:val="22"/>
          <w:szCs w:val="22"/>
        </w:rPr>
        <w:t xml:space="preserve"> dado que no es viable en el corto plazo realizar las gestiones</w:t>
      </w:r>
      <w:r w:rsidR="003D234B" w:rsidRPr="00D3052A">
        <w:rPr>
          <w:rFonts w:ascii="Verdana" w:hAnsi="Verdana"/>
          <w:bCs/>
          <w:sz w:val="22"/>
          <w:szCs w:val="22"/>
        </w:rPr>
        <w:t xml:space="preserve"> asociadas</w:t>
      </w:r>
      <w:r w:rsidR="00BB4D96" w:rsidRPr="00E94436">
        <w:rPr>
          <w:rFonts w:ascii="Verdana" w:hAnsi="Verdana"/>
          <w:bCs/>
          <w:sz w:val="22"/>
          <w:szCs w:val="22"/>
        </w:rPr>
        <w:t>.</w:t>
      </w:r>
    </w:p>
    <w:p w14:paraId="0A7F3AA6" w14:textId="38510840" w:rsidR="003D234B" w:rsidRPr="00D3052A" w:rsidRDefault="003D234B" w:rsidP="00E94436">
      <w:pPr>
        <w:pStyle w:val="Prrafodelista"/>
        <w:ind w:left="360"/>
        <w:jc w:val="both"/>
        <w:rPr>
          <w:rFonts w:ascii="Verdana" w:hAnsi="Verdana"/>
          <w:bCs/>
          <w:sz w:val="22"/>
          <w:szCs w:val="22"/>
        </w:rPr>
      </w:pPr>
    </w:p>
    <w:p w14:paraId="5795325A" w14:textId="301363BC" w:rsidR="0067485E" w:rsidRPr="00E94436" w:rsidRDefault="003D234B">
      <w:pPr>
        <w:pStyle w:val="Prrafodelista"/>
        <w:numPr>
          <w:ilvl w:val="0"/>
          <w:numId w:val="35"/>
        </w:numPr>
        <w:jc w:val="both"/>
        <w:rPr>
          <w:rFonts w:ascii="Verdana" w:hAnsi="Verdana"/>
          <w:bCs/>
          <w:sz w:val="22"/>
          <w:szCs w:val="22"/>
        </w:rPr>
      </w:pPr>
      <w:r w:rsidRPr="00D3052A">
        <w:rPr>
          <w:rFonts w:ascii="Verdana" w:hAnsi="Verdana"/>
          <w:bCs/>
          <w:sz w:val="22"/>
          <w:szCs w:val="22"/>
        </w:rPr>
        <w:t>En la reunión del CACS</w:t>
      </w:r>
      <w:r w:rsidR="00B41BFA">
        <w:rPr>
          <w:rFonts w:ascii="Verdana" w:hAnsi="Verdana"/>
          <w:bCs/>
          <w:sz w:val="22"/>
          <w:szCs w:val="22"/>
        </w:rPr>
        <w:t>S</w:t>
      </w:r>
      <w:r w:rsidRPr="00D3052A">
        <w:rPr>
          <w:rFonts w:ascii="Verdana" w:hAnsi="Verdana"/>
          <w:bCs/>
          <w:sz w:val="22"/>
          <w:szCs w:val="22"/>
        </w:rPr>
        <w:t>E del mes de enero se informó que se retiró a AXIA como agente comercializador del mer</w:t>
      </w:r>
      <w:r w:rsidR="00E94436">
        <w:rPr>
          <w:rFonts w:ascii="Verdana" w:hAnsi="Verdana"/>
          <w:bCs/>
          <w:sz w:val="22"/>
          <w:szCs w:val="22"/>
        </w:rPr>
        <w:t>c</w:t>
      </w:r>
      <w:r w:rsidRPr="00D3052A">
        <w:rPr>
          <w:rFonts w:ascii="Verdana" w:hAnsi="Verdana"/>
          <w:bCs/>
          <w:sz w:val="22"/>
          <w:szCs w:val="22"/>
        </w:rPr>
        <w:t>ado. Teniendo en cuenta que esta empresa es la dueñ</w:t>
      </w:r>
      <w:r w:rsidR="0067485E" w:rsidRPr="00D3052A">
        <w:rPr>
          <w:rFonts w:ascii="Verdana" w:hAnsi="Verdana"/>
          <w:bCs/>
          <w:sz w:val="22"/>
          <w:szCs w:val="22"/>
        </w:rPr>
        <w:t>a</w:t>
      </w:r>
      <w:r w:rsidRPr="00D3052A">
        <w:rPr>
          <w:rFonts w:ascii="Verdana" w:hAnsi="Verdana"/>
          <w:bCs/>
          <w:sz w:val="22"/>
          <w:szCs w:val="22"/>
        </w:rPr>
        <w:t xml:space="preserve"> de la planta de generación Termonorte (88 MW), no es claro el impacto de este evento para la Operación del SIN, específicamente para la subárea GCM. </w:t>
      </w:r>
      <w:r w:rsidR="0067485E" w:rsidRPr="00D3052A">
        <w:rPr>
          <w:rFonts w:ascii="Verdana" w:hAnsi="Verdana"/>
          <w:bCs/>
          <w:sz w:val="22"/>
          <w:szCs w:val="22"/>
        </w:rPr>
        <w:t xml:space="preserve">Es importante mencionar que el actual límite de importación de dicha subárea es 540 MW, es decir, </w:t>
      </w:r>
      <w:r w:rsidR="0067485E" w:rsidRPr="00E94436">
        <w:rPr>
          <w:rFonts w:ascii="Verdana" w:hAnsi="Verdana"/>
          <w:sz w:val="22"/>
          <w:szCs w:val="22"/>
        </w:rPr>
        <w:t>la generación interna debe ser mínimo el valor de la demanda menos el valor máximo de importación, condición que no siempre se cumple cuando se tienen indisponibles las unidades de generación de Termoguajira. Bajo dichas condiciones, actualmente es necesario racionar al tener únicamente como recurso a Termonorte.</w:t>
      </w:r>
    </w:p>
    <w:p w14:paraId="45D70EB8" w14:textId="77777777" w:rsidR="0067485E" w:rsidRPr="00E94436" w:rsidRDefault="0067485E" w:rsidP="00E94436">
      <w:pPr>
        <w:pStyle w:val="Prrafodelista"/>
        <w:jc w:val="both"/>
        <w:rPr>
          <w:rFonts w:ascii="Verdana" w:hAnsi="Verdana"/>
          <w:bCs/>
          <w:sz w:val="22"/>
          <w:szCs w:val="22"/>
        </w:rPr>
      </w:pPr>
    </w:p>
    <w:p w14:paraId="132A866F" w14:textId="77A5061B" w:rsidR="00D356FB" w:rsidRPr="00B22CCE" w:rsidRDefault="00B41BFA">
      <w:pPr>
        <w:pStyle w:val="Prrafodelista"/>
        <w:numPr>
          <w:ilvl w:val="0"/>
          <w:numId w:val="35"/>
        </w:numPr>
        <w:jc w:val="both"/>
        <w:rPr>
          <w:rFonts w:ascii="Verdana" w:hAnsi="Verdana"/>
          <w:bCs/>
          <w:sz w:val="22"/>
          <w:szCs w:val="22"/>
        </w:rPr>
      </w:pPr>
      <w:r w:rsidRPr="00B22CCE">
        <w:rPr>
          <w:rFonts w:ascii="Verdana" w:hAnsi="Verdana"/>
          <w:bCs/>
          <w:sz w:val="22"/>
          <w:szCs w:val="22"/>
        </w:rPr>
        <w:t xml:space="preserve">Sobre los informes resultado de la </w:t>
      </w:r>
      <w:r w:rsidR="00D356FB" w:rsidRPr="00B22CCE">
        <w:rPr>
          <w:rFonts w:ascii="Verdana" w:hAnsi="Verdana"/>
          <w:bCs/>
          <w:sz w:val="22"/>
          <w:szCs w:val="22"/>
        </w:rPr>
        <w:t xml:space="preserve">Misión de </w:t>
      </w:r>
      <w:r w:rsidR="00B22CCE" w:rsidRPr="00B22CCE">
        <w:rPr>
          <w:rFonts w:ascii="Verdana" w:hAnsi="Verdana"/>
          <w:bCs/>
          <w:sz w:val="22"/>
          <w:szCs w:val="22"/>
        </w:rPr>
        <w:t>Transformación, se</w:t>
      </w:r>
      <w:r w:rsidR="0067485E" w:rsidRPr="00B22CCE">
        <w:rPr>
          <w:rFonts w:ascii="Verdana" w:hAnsi="Verdana"/>
          <w:bCs/>
          <w:sz w:val="22"/>
          <w:szCs w:val="22"/>
        </w:rPr>
        <w:t xml:space="preserve"> propone al CNO formular comentarios a los ejes temáticos 1, 2 y 5 a través de los Comités de Operación, Transmisión y Distribución</w:t>
      </w:r>
      <w:r w:rsidRPr="00B22CCE">
        <w:rPr>
          <w:rFonts w:ascii="Verdana" w:hAnsi="Verdana"/>
          <w:bCs/>
          <w:sz w:val="22"/>
          <w:szCs w:val="22"/>
        </w:rPr>
        <w:t>, el plazo vence el 15 de febrero de 2020.</w:t>
      </w:r>
    </w:p>
    <w:p w14:paraId="5C9338F1" w14:textId="77777777" w:rsidR="00D356FB" w:rsidRPr="00E94436" w:rsidRDefault="00D356FB" w:rsidP="00E94436">
      <w:pPr>
        <w:jc w:val="both"/>
        <w:rPr>
          <w:rFonts w:ascii="Verdana" w:hAnsi="Verdana"/>
          <w:bCs/>
          <w:sz w:val="22"/>
          <w:szCs w:val="22"/>
        </w:rPr>
      </w:pPr>
    </w:p>
    <w:p w14:paraId="3800FE14" w14:textId="2404A9B7" w:rsidR="00D356FB" w:rsidRDefault="0067485E">
      <w:pPr>
        <w:pStyle w:val="Prrafodelista"/>
        <w:numPr>
          <w:ilvl w:val="0"/>
          <w:numId w:val="35"/>
        </w:numPr>
        <w:jc w:val="both"/>
        <w:rPr>
          <w:rFonts w:ascii="Verdana" w:hAnsi="Verdana"/>
          <w:bCs/>
          <w:sz w:val="22"/>
          <w:szCs w:val="22"/>
        </w:rPr>
      </w:pPr>
      <w:r w:rsidRPr="00D3052A">
        <w:rPr>
          <w:rFonts w:ascii="Verdana" w:hAnsi="Verdana"/>
          <w:bCs/>
          <w:sz w:val="22"/>
          <w:szCs w:val="22"/>
        </w:rPr>
        <w:lastRenderedPageBreak/>
        <w:t xml:space="preserve">El CND revaluó nuevamente los informes de Planeamiento Operativo Eléctrico de Mediano y Largo Plazo, al igual que el Informe Trimestral de Restricciones. Si bien se identifica que el número de restricciones en el Sistema se redujo respecto al año 2019, se identifica que en algunas subáreas se han incrementado en más del 100 % (subáreas Valle, Cauca y Nariño, por ejemplo), y no se han definido para algunas de ellas obras de expansión por parte de los Operadores de Red y la UPME. Teniendo en cuenta lo anterior, se programará una reunión conjunta entre los Comités de Operación, Distribución y Transmisión para analizar los documentos y formular un </w:t>
      </w:r>
      <w:r w:rsidR="00D9298D">
        <w:rPr>
          <w:rFonts w:ascii="Verdana" w:hAnsi="Verdana"/>
          <w:bCs/>
          <w:sz w:val="22"/>
          <w:szCs w:val="22"/>
        </w:rPr>
        <w:t>plan de</w:t>
      </w:r>
      <w:bookmarkStart w:id="0" w:name="_GoBack"/>
      <w:bookmarkEnd w:id="0"/>
      <w:r w:rsidRPr="00D3052A">
        <w:rPr>
          <w:rFonts w:ascii="Verdana" w:hAnsi="Verdana"/>
          <w:bCs/>
          <w:sz w:val="22"/>
          <w:szCs w:val="22"/>
        </w:rPr>
        <w:t xml:space="preserve"> acción. </w:t>
      </w:r>
    </w:p>
    <w:p w14:paraId="49A1A5B7" w14:textId="77777777" w:rsidR="00D3052A" w:rsidRPr="00B22CCE" w:rsidRDefault="00D3052A" w:rsidP="00B22CCE">
      <w:pPr>
        <w:jc w:val="both"/>
        <w:rPr>
          <w:rFonts w:ascii="Verdana" w:hAnsi="Verdana"/>
          <w:bCs/>
          <w:sz w:val="22"/>
          <w:szCs w:val="22"/>
        </w:rPr>
      </w:pPr>
    </w:p>
    <w:p w14:paraId="78D285C3" w14:textId="4A89AE80" w:rsidR="00D3052A" w:rsidRPr="00E94436" w:rsidRDefault="0067485E" w:rsidP="00E94436">
      <w:pPr>
        <w:pStyle w:val="Prrafodelista"/>
        <w:numPr>
          <w:ilvl w:val="0"/>
          <w:numId w:val="35"/>
        </w:numPr>
        <w:jc w:val="both"/>
        <w:rPr>
          <w:rFonts w:ascii="Verdana" w:hAnsi="Verdana"/>
          <w:bCs/>
          <w:sz w:val="22"/>
          <w:szCs w:val="22"/>
        </w:rPr>
      </w:pPr>
      <w:r w:rsidRPr="00D3052A">
        <w:rPr>
          <w:rFonts w:ascii="Verdana" w:hAnsi="Verdana"/>
          <w:bCs/>
          <w:sz w:val="22"/>
          <w:szCs w:val="22"/>
        </w:rPr>
        <w:t>Se envió c</w:t>
      </w:r>
      <w:r w:rsidR="003D234B" w:rsidRPr="00D3052A">
        <w:rPr>
          <w:rFonts w:ascii="Verdana" w:hAnsi="Verdana"/>
          <w:bCs/>
          <w:sz w:val="22"/>
          <w:szCs w:val="22"/>
        </w:rPr>
        <w:t>omunicación</w:t>
      </w:r>
      <w:r w:rsidR="00D3052A" w:rsidRPr="00D3052A">
        <w:rPr>
          <w:rFonts w:ascii="Verdana" w:hAnsi="Verdana"/>
          <w:bCs/>
          <w:sz w:val="22"/>
          <w:szCs w:val="22"/>
        </w:rPr>
        <w:t xml:space="preserve"> </w:t>
      </w:r>
      <w:r w:rsidR="00B22CCE">
        <w:rPr>
          <w:rFonts w:ascii="Verdana" w:hAnsi="Verdana"/>
          <w:bCs/>
          <w:sz w:val="22"/>
          <w:szCs w:val="22"/>
        </w:rPr>
        <w:t xml:space="preserve">a UPME con </w:t>
      </w:r>
      <w:r w:rsidR="00D3052A" w:rsidRPr="00D3052A">
        <w:rPr>
          <w:rFonts w:ascii="Verdana" w:hAnsi="Verdana"/>
          <w:bCs/>
          <w:sz w:val="22"/>
          <w:szCs w:val="22"/>
        </w:rPr>
        <w:t xml:space="preserve"> comentarios sobre el documento “Estudio Técnico para el Plan de Abastecimiento de Gas Natural”. </w:t>
      </w:r>
      <w:r w:rsidR="00D3052A" w:rsidRPr="00E94436">
        <w:rPr>
          <w:rFonts w:ascii="Verdana" w:hAnsi="Verdana"/>
          <w:bCs/>
          <w:sz w:val="22"/>
          <w:szCs w:val="22"/>
        </w:rPr>
        <w:t>La carta puede ser consultada en la página web del Consejo.</w:t>
      </w:r>
    </w:p>
    <w:p w14:paraId="3BCCC904" w14:textId="77777777" w:rsidR="00D3052A" w:rsidRPr="00BB4D96" w:rsidRDefault="00D3052A" w:rsidP="00E94436">
      <w:pPr>
        <w:jc w:val="both"/>
      </w:pPr>
    </w:p>
    <w:p w14:paraId="30AFE632" w14:textId="5BEEF183" w:rsidR="00BB4D96" w:rsidRPr="00E94436" w:rsidRDefault="00556094" w:rsidP="00E94436">
      <w:pPr>
        <w:pStyle w:val="Prrafodelista"/>
        <w:numPr>
          <w:ilvl w:val="0"/>
          <w:numId w:val="35"/>
        </w:numPr>
        <w:jc w:val="both"/>
        <w:rPr>
          <w:rFonts w:ascii="Verdana" w:hAnsi="Verdana"/>
          <w:bCs/>
          <w:sz w:val="22"/>
          <w:szCs w:val="22"/>
        </w:rPr>
      </w:pPr>
      <w:r w:rsidRPr="00E94436">
        <w:rPr>
          <w:rFonts w:ascii="Verdana" w:hAnsi="Verdana"/>
          <w:bCs/>
          <w:sz w:val="22"/>
          <w:szCs w:val="22"/>
        </w:rPr>
        <w:t xml:space="preserve">La CREG convocó al CND y el CNO a una reunión para discutir sobre una propuesta de formulación de un Reglamento de medición de Variables hidrométricas. La misma se llevará a cabo el martes 11 de febrero del año en curso. </w:t>
      </w:r>
      <w:r>
        <w:rPr>
          <w:rFonts w:ascii="Verdana" w:hAnsi="Verdana"/>
          <w:bCs/>
          <w:sz w:val="22"/>
          <w:szCs w:val="22"/>
        </w:rPr>
        <w:t>Por parte del Consejo asistirán sus funcionarios, el presidente del Subcomité de Recursos Energéticos Renovables y la Universidad de los Andes.</w:t>
      </w:r>
      <w:r w:rsidRPr="00E94436">
        <w:rPr>
          <w:rFonts w:ascii="Verdana" w:hAnsi="Verdana"/>
          <w:bCs/>
          <w:sz w:val="22"/>
          <w:szCs w:val="22"/>
        </w:rPr>
        <w:t xml:space="preserve"> </w:t>
      </w:r>
    </w:p>
    <w:p w14:paraId="53A34721" w14:textId="77777777" w:rsidR="001C4A97" w:rsidRPr="001C4A97" w:rsidRDefault="001C4A97">
      <w:pPr>
        <w:jc w:val="both"/>
        <w:rPr>
          <w:rFonts w:ascii="Verdana" w:hAnsi="Verdana"/>
          <w:bCs/>
          <w:sz w:val="22"/>
          <w:szCs w:val="22"/>
        </w:rPr>
      </w:pPr>
    </w:p>
    <w:p w14:paraId="4C6B7AD9" w14:textId="77777777" w:rsidR="00C5692A" w:rsidRPr="001C4A97" w:rsidRDefault="00C5692A" w:rsidP="00E94436">
      <w:pPr>
        <w:pStyle w:val="Prrafodelista"/>
        <w:jc w:val="both"/>
        <w:rPr>
          <w:rFonts w:ascii="Verdana" w:hAnsi="Verdana"/>
          <w:bCs/>
          <w:sz w:val="22"/>
          <w:szCs w:val="22"/>
        </w:rPr>
      </w:pPr>
    </w:p>
    <w:p w14:paraId="744352A0" w14:textId="77777777" w:rsidR="00C5692A" w:rsidRPr="001C4A97" w:rsidRDefault="00C5692A" w:rsidP="00E94436">
      <w:pPr>
        <w:pStyle w:val="Prrafodelista"/>
        <w:jc w:val="both"/>
        <w:rPr>
          <w:rFonts w:ascii="Verdana" w:hAnsi="Verdana"/>
          <w:bCs/>
          <w:sz w:val="22"/>
          <w:szCs w:val="22"/>
        </w:rPr>
      </w:pPr>
    </w:p>
    <w:p w14:paraId="69120B2B" w14:textId="77777777" w:rsidR="00C5692A" w:rsidRPr="001C4A97" w:rsidRDefault="00C5692A">
      <w:pPr>
        <w:pStyle w:val="Prrafodelista"/>
        <w:ind w:left="360"/>
        <w:jc w:val="both"/>
        <w:rPr>
          <w:rFonts w:ascii="Verdana" w:hAnsi="Verdana"/>
          <w:bCs/>
          <w:sz w:val="22"/>
          <w:szCs w:val="22"/>
        </w:rPr>
      </w:pPr>
    </w:p>
    <w:p w14:paraId="40A3FFAE" w14:textId="77777777" w:rsidR="0026220B" w:rsidRPr="00024171" w:rsidRDefault="0026220B">
      <w:pPr>
        <w:pStyle w:val="Prrafodelista"/>
        <w:jc w:val="both"/>
        <w:rPr>
          <w:rFonts w:ascii="Verdana" w:hAnsi="Verdana"/>
          <w:bCs/>
          <w:sz w:val="22"/>
          <w:szCs w:val="22"/>
        </w:rPr>
      </w:pPr>
    </w:p>
    <w:p w14:paraId="0130D9DA" w14:textId="77777777" w:rsidR="00052450" w:rsidRPr="00024171" w:rsidRDefault="00052450" w:rsidP="00E94436">
      <w:pPr>
        <w:pStyle w:val="Prrafodelista"/>
        <w:jc w:val="both"/>
        <w:rPr>
          <w:rFonts w:ascii="Verdana" w:hAnsi="Verdana"/>
          <w:bCs/>
          <w:sz w:val="22"/>
          <w:szCs w:val="22"/>
        </w:rPr>
      </w:pPr>
    </w:p>
    <w:p w14:paraId="39584B77" w14:textId="77777777" w:rsidR="001B6888" w:rsidRPr="00024171" w:rsidRDefault="001B6888" w:rsidP="00E94436">
      <w:pPr>
        <w:pStyle w:val="Prrafodelista"/>
        <w:jc w:val="both"/>
        <w:rPr>
          <w:rFonts w:ascii="Verdana" w:hAnsi="Verdana"/>
          <w:bCs/>
          <w:sz w:val="22"/>
          <w:szCs w:val="22"/>
        </w:rPr>
      </w:pPr>
    </w:p>
    <w:p w14:paraId="6B9DEE73" w14:textId="77777777" w:rsidR="00052450" w:rsidRPr="00024171" w:rsidRDefault="00052450" w:rsidP="00E94436">
      <w:pPr>
        <w:pStyle w:val="Prrafodelista"/>
        <w:jc w:val="both"/>
        <w:rPr>
          <w:rFonts w:ascii="Verdana" w:hAnsi="Verdana"/>
          <w:bCs/>
          <w:sz w:val="22"/>
          <w:szCs w:val="22"/>
        </w:rPr>
      </w:pPr>
    </w:p>
    <w:p w14:paraId="14698D27" w14:textId="77777777" w:rsidR="00052450" w:rsidRPr="00024171" w:rsidRDefault="00052450" w:rsidP="00E94436">
      <w:pPr>
        <w:pStyle w:val="Prrafodelista"/>
        <w:jc w:val="both"/>
        <w:rPr>
          <w:rFonts w:ascii="Verdana" w:hAnsi="Verdana"/>
          <w:bCs/>
          <w:sz w:val="22"/>
          <w:szCs w:val="22"/>
        </w:rPr>
      </w:pPr>
    </w:p>
    <w:p w14:paraId="3EEE31DE" w14:textId="52FBECE9" w:rsidR="00E704EC" w:rsidRPr="00052450" w:rsidRDefault="00E704EC">
      <w:pPr>
        <w:jc w:val="both"/>
        <w:rPr>
          <w:rFonts w:ascii="Verdana" w:hAnsi="Verdana"/>
          <w:bCs/>
          <w:sz w:val="22"/>
          <w:szCs w:val="22"/>
        </w:rPr>
      </w:pPr>
    </w:p>
    <w:p w14:paraId="64FA72EB" w14:textId="60DADA20" w:rsidR="00E57880" w:rsidRPr="00052450" w:rsidRDefault="00B12E49">
      <w:pPr>
        <w:tabs>
          <w:tab w:val="left" w:pos="4089"/>
        </w:tabs>
        <w:jc w:val="both"/>
        <w:rPr>
          <w:rFonts w:ascii="Verdana" w:hAnsi="Verdana"/>
          <w:bCs/>
          <w:sz w:val="22"/>
          <w:szCs w:val="22"/>
        </w:rPr>
      </w:pPr>
      <w:r>
        <w:rPr>
          <w:rFonts w:ascii="Verdana" w:hAnsi="Verdana"/>
          <w:bCs/>
          <w:sz w:val="22"/>
          <w:szCs w:val="22"/>
        </w:rPr>
        <w:tab/>
      </w:r>
    </w:p>
    <w:p w14:paraId="5EE969BB" w14:textId="4AC8790D" w:rsidR="00E57880" w:rsidRPr="00024171" w:rsidRDefault="00E57880" w:rsidP="00E94436">
      <w:pPr>
        <w:jc w:val="both"/>
        <w:rPr>
          <w:rFonts w:ascii="Verdana" w:hAnsi="Verdana"/>
          <w:bCs/>
          <w:sz w:val="22"/>
          <w:szCs w:val="22"/>
        </w:rPr>
      </w:pPr>
    </w:p>
    <w:p w14:paraId="5F6EB50E" w14:textId="77777777" w:rsidR="009B29ED" w:rsidRPr="009B29ED" w:rsidRDefault="009B29ED">
      <w:pPr>
        <w:pStyle w:val="Prrafodelista"/>
        <w:jc w:val="both"/>
        <w:rPr>
          <w:rFonts w:ascii="Verdana" w:hAnsi="Verdana"/>
          <w:bCs/>
          <w:sz w:val="22"/>
          <w:szCs w:val="22"/>
        </w:rPr>
      </w:pPr>
    </w:p>
    <w:p w14:paraId="0685B97F" w14:textId="28CF4DE6" w:rsidR="00223CA5" w:rsidRPr="009B29ED" w:rsidRDefault="00223CA5">
      <w:pPr>
        <w:jc w:val="both"/>
      </w:pPr>
    </w:p>
    <w:p w14:paraId="75D4FEC0" w14:textId="77777777" w:rsidR="009B29ED" w:rsidRDefault="009B29ED">
      <w:pPr>
        <w:pStyle w:val="Prrafodelista"/>
        <w:jc w:val="both"/>
      </w:pPr>
    </w:p>
    <w:p w14:paraId="01C175E8" w14:textId="77777777" w:rsidR="009B29ED" w:rsidRPr="00286A3A" w:rsidRDefault="009B29ED">
      <w:pPr>
        <w:jc w:val="both"/>
      </w:pPr>
    </w:p>
    <w:p w14:paraId="0DE2DBF0" w14:textId="77777777" w:rsidR="00FE3017" w:rsidRDefault="00FE3017">
      <w:pPr>
        <w:pStyle w:val="Prrafodelista"/>
        <w:ind w:left="360"/>
        <w:jc w:val="both"/>
        <w:rPr>
          <w:rFonts w:ascii="Verdana" w:hAnsi="Verdana"/>
          <w:bCs/>
          <w:sz w:val="22"/>
          <w:szCs w:val="22"/>
        </w:rPr>
      </w:pPr>
    </w:p>
    <w:p w14:paraId="3C972572" w14:textId="77777777" w:rsidR="00FE3017" w:rsidRPr="00FE3017" w:rsidRDefault="00FE3017">
      <w:pPr>
        <w:pStyle w:val="Prrafodelista"/>
        <w:jc w:val="both"/>
        <w:rPr>
          <w:rFonts w:ascii="Verdana" w:hAnsi="Verdana"/>
          <w:bCs/>
          <w:sz w:val="22"/>
          <w:szCs w:val="22"/>
        </w:rPr>
      </w:pPr>
    </w:p>
    <w:p w14:paraId="5136C101" w14:textId="77777777" w:rsidR="00FE3017" w:rsidRPr="00424C05" w:rsidRDefault="00FE3017">
      <w:pPr>
        <w:pStyle w:val="Prrafodelista"/>
        <w:ind w:left="360"/>
        <w:jc w:val="both"/>
        <w:rPr>
          <w:rFonts w:ascii="Verdana" w:hAnsi="Verdana"/>
          <w:bCs/>
          <w:sz w:val="22"/>
          <w:szCs w:val="22"/>
        </w:rPr>
      </w:pPr>
    </w:p>
    <w:sectPr w:rsidR="00FE3017" w:rsidRPr="00424C05">
      <w:headerReference w:type="default" r:id="rId10"/>
      <w:footerReference w:type="default" r:id="rId11"/>
      <w:pgSz w:w="12242" w:h="15842"/>
      <w:pgMar w:top="851" w:right="1327" w:bottom="1134" w:left="1701"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CCC1CA" w14:textId="77777777" w:rsidR="0048656D" w:rsidRDefault="0048656D">
      <w:r>
        <w:separator/>
      </w:r>
    </w:p>
  </w:endnote>
  <w:endnote w:type="continuationSeparator" w:id="0">
    <w:p w14:paraId="233F3194" w14:textId="77777777" w:rsidR="0048656D" w:rsidRDefault="00486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ncizar Sans Regula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76705" w14:textId="1D0C09F2" w:rsidR="000D0FE5" w:rsidRPr="005F56D1" w:rsidRDefault="005F56D1">
    <w:pPr>
      <w:pBdr>
        <w:top w:val="nil"/>
        <w:left w:val="nil"/>
        <w:bottom w:val="nil"/>
        <w:right w:val="nil"/>
        <w:between w:val="nil"/>
      </w:pBdr>
      <w:tabs>
        <w:tab w:val="center" w:pos="4252"/>
        <w:tab w:val="right" w:pos="8504"/>
      </w:tabs>
      <w:rPr>
        <w:rFonts w:ascii="Verdana" w:eastAsia="Verdana" w:hAnsi="Verdana" w:cs="Verdana"/>
        <w:i/>
        <w:iCs/>
        <w:color w:val="000000"/>
        <w:sz w:val="16"/>
        <w:szCs w:val="16"/>
      </w:rPr>
    </w:pPr>
    <w:r w:rsidRPr="005F56D1">
      <w:rPr>
        <w:rFonts w:ascii="Verdana" w:eastAsia="Verdana" w:hAnsi="Verdana" w:cs="Verdana"/>
        <w:i/>
        <w:iCs/>
        <w:color w:val="000000"/>
        <w:sz w:val="16"/>
        <w:szCs w:val="16"/>
      </w:rPr>
      <w:t>I</w:t>
    </w:r>
    <w:r w:rsidR="00506CC8">
      <w:rPr>
        <w:rFonts w:ascii="Verdana" w:eastAsia="Verdana" w:hAnsi="Verdana" w:cs="Verdana"/>
        <w:i/>
        <w:iCs/>
        <w:color w:val="000000"/>
        <w:sz w:val="16"/>
        <w:szCs w:val="16"/>
      </w:rPr>
      <w:t xml:space="preserve">nforme </w:t>
    </w:r>
    <w:r w:rsidRPr="005F56D1">
      <w:rPr>
        <w:rFonts w:ascii="Verdana" w:eastAsia="Verdana" w:hAnsi="Verdana" w:cs="Verdana"/>
        <w:i/>
        <w:iCs/>
        <w:color w:val="000000"/>
        <w:sz w:val="16"/>
        <w:szCs w:val="16"/>
      </w:rPr>
      <w:t>CNO 58</w:t>
    </w:r>
    <w:r w:rsidR="00AD0D28">
      <w:rPr>
        <w:rFonts w:ascii="Verdana" w:eastAsia="Verdana" w:hAnsi="Verdana" w:cs="Verdana"/>
        <w:i/>
        <w:iCs/>
        <w:color w:val="000000"/>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C567B" w14:textId="77777777" w:rsidR="0048656D" w:rsidRDefault="0048656D">
      <w:r>
        <w:separator/>
      </w:r>
    </w:p>
  </w:footnote>
  <w:footnote w:type="continuationSeparator" w:id="0">
    <w:p w14:paraId="0D089DC8" w14:textId="77777777" w:rsidR="0048656D" w:rsidRDefault="004865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74407" w14:textId="77777777" w:rsidR="000D0FE5" w:rsidRDefault="000D0FE5">
    <w:pPr>
      <w:pBdr>
        <w:top w:val="nil"/>
        <w:left w:val="nil"/>
        <w:bottom w:val="nil"/>
        <w:right w:val="nil"/>
        <w:between w:val="nil"/>
      </w:pBdr>
      <w:tabs>
        <w:tab w:val="center" w:pos="4419"/>
        <w:tab w:val="left" w:pos="7180"/>
      </w:tabs>
      <w:rPr>
        <w:b/>
        <w:color w:val="000000"/>
        <w:sz w:val="40"/>
        <w:szCs w:val="40"/>
      </w:rPr>
    </w:pPr>
  </w:p>
  <w:p w14:paraId="35C99D28" w14:textId="77777777" w:rsidR="000D0FE5" w:rsidRDefault="000D0FE5">
    <w:pPr>
      <w:pBdr>
        <w:top w:val="nil"/>
        <w:left w:val="nil"/>
        <w:bottom w:val="nil"/>
        <w:right w:val="nil"/>
        <w:between w:val="nil"/>
      </w:pBdr>
      <w:tabs>
        <w:tab w:val="center" w:pos="4419"/>
        <w:tab w:val="left" w:pos="7180"/>
      </w:tabs>
      <w:rPr>
        <w:b/>
        <w:color w:val="000000"/>
        <w:sz w:val="40"/>
        <w:szCs w:val="40"/>
      </w:rPr>
    </w:pPr>
    <w:r>
      <w:rPr>
        <w:b/>
        <w:color w:val="000000"/>
        <w:sz w:val="40"/>
        <w:szCs w:val="40"/>
      </w:rPr>
      <w:tab/>
    </w:r>
    <w:r>
      <w:rPr>
        <w:b/>
        <w:color w:val="000000"/>
        <w:sz w:val="40"/>
        <w:szCs w:val="40"/>
      </w:rPr>
      <w:tab/>
    </w:r>
    <w:r>
      <w:rPr>
        <w:noProof/>
      </w:rPr>
      <w:drawing>
        <wp:anchor distT="0" distB="0" distL="114300" distR="114300" simplePos="0" relativeHeight="251658240" behindDoc="0" locked="0" layoutInCell="1" hidden="0" allowOverlap="1" wp14:anchorId="3F22EB6C" wp14:editId="39AE63E1">
          <wp:simplePos x="0" y="0"/>
          <wp:positionH relativeFrom="column">
            <wp:posOffset>2011679</wp:posOffset>
          </wp:positionH>
          <wp:positionV relativeFrom="paragraph">
            <wp:posOffset>-445134</wp:posOffset>
          </wp:positionV>
          <wp:extent cx="1827530" cy="695325"/>
          <wp:effectExtent l="0" t="0" r="0" b="0"/>
          <wp:wrapSquare wrapText="bothSides" distT="0" distB="0" distL="114300" distR="114300"/>
          <wp:docPr id="5" name="image1.png" descr="cid:image002.jpg@01D3D593.164EAD00"/>
          <wp:cNvGraphicFramePr/>
          <a:graphic xmlns:a="http://schemas.openxmlformats.org/drawingml/2006/main">
            <a:graphicData uri="http://schemas.openxmlformats.org/drawingml/2006/picture">
              <pic:pic xmlns:pic="http://schemas.openxmlformats.org/drawingml/2006/picture">
                <pic:nvPicPr>
                  <pic:cNvPr id="0" name="image1.png" descr="cid:image002.jpg@01D3D593.164EAD00"/>
                  <pic:cNvPicPr preferRelativeResize="0"/>
                </pic:nvPicPr>
                <pic:blipFill>
                  <a:blip r:embed="rId1"/>
                  <a:srcRect/>
                  <a:stretch>
                    <a:fillRect/>
                  </a:stretch>
                </pic:blipFill>
                <pic:spPr>
                  <a:xfrm>
                    <a:off x="0" y="0"/>
                    <a:ext cx="1827530" cy="6953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80B2D"/>
    <w:multiLevelType w:val="hybridMultilevel"/>
    <w:tmpl w:val="DC180C0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83339A"/>
    <w:multiLevelType w:val="hybridMultilevel"/>
    <w:tmpl w:val="391E9AA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B2953CD"/>
    <w:multiLevelType w:val="hybridMultilevel"/>
    <w:tmpl w:val="3398B3A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936180"/>
    <w:multiLevelType w:val="hybridMultilevel"/>
    <w:tmpl w:val="790895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DC74B52"/>
    <w:multiLevelType w:val="hybridMultilevel"/>
    <w:tmpl w:val="992A5A1C"/>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107B6718"/>
    <w:multiLevelType w:val="hybridMultilevel"/>
    <w:tmpl w:val="B0A2C2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FC36F0"/>
    <w:multiLevelType w:val="hybridMultilevel"/>
    <w:tmpl w:val="81CE3D74"/>
    <w:lvl w:ilvl="0" w:tplc="B8A65B28">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194A6A03"/>
    <w:multiLevelType w:val="hybridMultilevel"/>
    <w:tmpl w:val="90745D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A8E7E3E"/>
    <w:multiLevelType w:val="hybridMultilevel"/>
    <w:tmpl w:val="D16218AA"/>
    <w:lvl w:ilvl="0" w:tplc="2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B1E0E9E"/>
    <w:multiLevelType w:val="hybridMultilevel"/>
    <w:tmpl w:val="51DCFEF8"/>
    <w:lvl w:ilvl="0" w:tplc="47920EF0">
      <w:start w:val="14"/>
      <w:numFmt w:val="bullet"/>
      <w:lvlText w:val="-"/>
      <w:lvlJc w:val="left"/>
      <w:pPr>
        <w:ind w:left="720" w:hanging="360"/>
      </w:pPr>
      <w:rPr>
        <w:rFonts w:ascii="Verdana" w:eastAsia="Verdana" w:hAnsi="Verdana" w:cs="Verdan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1BB35078"/>
    <w:multiLevelType w:val="hybridMultilevel"/>
    <w:tmpl w:val="9E62B12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A7E4F1F"/>
    <w:multiLevelType w:val="hybridMultilevel"/>
    <w:tmpl w:val="1CD09A6C"/>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2E541471"/>
    <w:multiLevelType w:val="hybridMultilevel"/>
    <w:tmpl w:val="BD4696C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380B47C9"/>
    <w:multiLevelType w:val="hybridMultilevel"/>
    <w:tmpl w:val="4D342F5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A297D63"/>
    <w:multiLevelType w:val="hybridMultilevel"/>
    <w:tmpl w:val="B20AC4E8"/>
    <w:lvl w:ilvl="0" w:tplc="9BA8ECD6">
      <w:start w:val="1"/>
      <w:numFmt w:val="decimal"/>
      <w:lvlText w:val="%1."/>
      <w:lvlJc w:val="left"/>
      <w:pPr>
        <w:ind w:left="360" w:hanging="360"/>
      </w:pPr>
      <w:rPr>
        <w:rFonts w:hint="default"/>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3DA94038"/>
    <w:multiLevelType w:val="hybridMultilevel"/>
    <w:tmpl w:val="CCBCCE9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3E853D13"/>
    <w:multiLevelType w:val="hybridMultilevel"/>
    <w:tmpl w:val="7ACC7C8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1120FF5"/>
    <w:multiLevelType w:val="hybridMultilevel"/>
    <w:tmpl w:val="C51C65C6"/>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4281233E"/>
    <w:multiLevelType w:val="hybridMultilevel"/>
    <w:tmpl w:val="71E4A7C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 w15:restartNumberingAfterBreak="0">
    <w:nsid w:val="462F4353"/>
    <w:multiLevelType w:val="hybridMultilevel"/>
    <w:tmpl w:val="FD681EB0"/>
    <w:lvl w:ilvl="0" w:tplc="8EE69300">
      <w:start w:val="1"/>
      <w:numFmt w:val="bullet"/>
      <w:lvlText w:val=""/>
      <w:lvlJc w:val="left"/>
      <w:pPr>
        <w:tabs>
          <w:tab w:val="num" w:pos="720"/>
        </w:tabs>
        <w:ind w:left="720" w:hanging="360"/>
      </w:pPr>
      <w:rPr>
        <w:rFonts w:ascii="Wingdings" w:hAnsi="Wingdings" w:hint="default"/>
      </w:rPr>
    </w:lvl>
    <w:lvl w:ilvl="1" w:tplc="D892EA8C" w:tentative="1">
      <w:start w:val="1"/>
      <w:numFmt w:val="bullet"/>
      <w:lvlText w:val=""/>
      <w:lvlJc w:val="left"/>
      <w:pPr>
        <w:tabs>
          <w:tab w:val="num" w:pos="1440"/>
        </w:tabs>
        <w:ind w:left="1440" w:hanging="360"/>
      </w:pPr>
      <w:rPr>
        <w:rFonts w:ascii="Wingdings" w:hAnsi="Wingdings" w:hint="default"/>
      </w:rPr>
    </w:lvl>
    <w:lvl w:ilvl="2" w:tplc="A85AF0A2" w:tentative="1">
      <w:start w:val="1"/>
      <w:numFmt w:val="bullet"/>
      <w:lvlText w:val=""/>
      <w:lvlJc w:val="left"/>
      <w:pPr>
        <w:tabs>
          <w:tab w:val="num" w:pos="2160"/>
        </w:tabs>
        <w:ind w:left="2160" w:hanging="360"/>
      </w:pPr>
      <w:rPr>
        <w:rFonts w:ascii="Wingdings" w:hAnsi="Wingdings" w:hint="default"/>
      </w:rPr>
    </w:lvl>
    <w:lvl w:ilvl="3" w:tplc="276CB88A" w:tentative="1">
      <w:start w:val="1"/>
      <w:numFmt w:val="bullet"/>
      <w:lvlText w:val=""/>
      <w:lvlJc w:val="left"/>
      <w:pPr>
        <w:tabs>
          <w:tab w:val="num" w:pos="2880"/>
        </w:tabs>
        <w:ind w:left="2880" w:hanging="360"/>
      </w:pPr>
      <w:rPr>
        <w:rFonts w:ascii="Wingdings" w:hAnsi="Wingdings" w:hint="default"/>
      </w:rPr>
    </w:lvl>
    <w:lvl w:ilvl="4" w:tplc="130884D0" w:tentative="1">
      <w:start w:val="1"/>
      <w:numFmt w:val="bullet"/>
      <w:lvlText w:val=""/>
      <w:lvlJc w:val="left"/>
      <w:pPr>
        <w:tabs>
          <w:tab w:val="num" w:pos="3600"/>
        </w:tabs>
        <w:ind w:left="3600" w:hanging="360"/>
      </w:pPr>
      <w:rPr>
        <w:rFonts w:ascii="Wingdings" w:hAnsi="Wingdings" w:hint="default"/>
      </w:rPr>
    </w:lvl>
    <w:lvl w:ilvl="5" w:tplc="B4F0EEAA" w:tentative="1">
      <w:start w:val="1"/>
      <w:numFmt w:val="bullet"/>
      <w:lvlText w:val=""/>
      <w:lvlJc w:val="left"/>
      <w:pPr>
        <w:tabs>
          <w:tab w:val="num" w:pos="4320"/>
        </w:tabs>
        <w:ind w:left="4320" w:hanging="360"/>
      </w:pPr>
      <w:rPr>
        <w:rFonts w:ascii="Wingdings" w:hAnsi="Wingdings" w:hint="default"/>
      </w:rPr>
    </w:lvl>
    <w:lvl w:ilvl="6" w:tplc="8F4CBE2E" w:tentative="1">
      <w:start w:val="1"/>
      <w:numFmt w:val="bullet"/>
      <w:lvlText w:val=""/>
      <w:lvlJc w:val="left"/>
      <w:pPr>
        <w:tabs>
          <w:tab w:val="num" w:pos="5040"/>
        </w:tabs>
        <w:ind w:left="5040" w:hanging="360"/>
      </w:pPr>
      <w:rPr>
        <w:rFonts w:ascii="Wingdings" w:hAnsi="Wingdings" w:hint="default"/>
      </w:rPr>
    </w:lvl>
    <w:lvl w:ilvl="7" w:tplc="9B00C736" w:tentative="1">
      <w:start w:val="1"/>
      <w:numFmt w:val="bullet"/>
      <w:lvlText w:val=""/>
      <w:lvlJc w:val="left"/>
      <w:pPr>
        <w:tabs>
          <w:tab w:val="num" w:pos="5760"/>
        </w:tabs>
        <w:ind w:left="5760" w:hanging="360"/>
      </w:pPr>
      <w:rPr>
        <w:rFonts w:ascii="Wingdings" w:hAnsi="Wingdings" w:hint="default"/>
      </w:rPr>
    </w:lvl>
    <w:lvl w:ilvl="8" w:tplc="F38873E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DF1F17"/>
    <w:multiLevelType w:val="hybridMultilevel"/>
    <w:tmpl w:val="4482A41A"/>
    <w:lvl w:ilvl="0" w:tplc="6AD84D24">
      <w:start w:val="1"/>
      <w:numFmt w:val="decimal"/>
      <w:lvlText w:val="%1."/>
      <w:lvlJc w:val="left"/>
      <w:pPr>
        <w:ind w:left="360" w:hanging="360"/>
      </w:pPr>
      <w:rPr>
        <w:sz w:val="22"/>
        <w:szCs w:val="22"/>
      </w:rPr>
    </w:lvl>
    <w:lvl w:ilvl="1" w:tplc="23D64D92">
      <w:start w:val="1"/>
      <w:numFmt w:val="lowerLetter"/>
      <w:lvlText w:val="%2."/>
      <w:lvlJc w:val="left"/>
      <w:pPr>
        <w:ind w:left="1080" w:hanging="360"/>
      </w:pPr>
      <w:rPr>
        <w:rFonts w:ascii="Verdana" w:hAnsi="Verdana" w:hint="default"/>
        <w:sz w:val="22"/>
        <w:szCs w:val="22"/>
      </w:r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49B61035"/>
    <w:multiLevelType w:val="hybridMultilevel"/>
    <w:tmpl w:val="DBCE101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A1542CA"/>
    <w:multiLevelType w:val="hybridMultilevel"/>
    <w:tmpl w:val="1316A75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BAA1033"/>
    <w:multiLevelType w:val="hybridMultilevel"/>
    <w:tmpl w:val="6898E7B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4" w15:restartNumberingAfterBreak="0">
    <w:nsid w:val="4BED0BD5"/>
    <w:multiLevelType w:val="multilevel"/>
    <w:tmpl w:val="5516AA44"/>
    <w:lvl w:ilvl="0">
      <w:start w:val="1"/>
      <w:numFmt w:val="decimal"/>
      <w:pStyle w:val="Nivel1"/>
      <w:lvlText w:val="%1."/>
      <w:lvlJc w:val="left"/>
      <w:pPr>
        <w:ind w:left="360" w:hanging="360"/>
      </w:pPr>
      <w:rPr>
        <w:sz w:val="20"/>
        <w:szCs w:val="20"/>
      </w:rPr>
    </w:lvl>
    <w:lvl w:ilvl="1">
      <w:start w:val="1"/>
      <w:numFmt w:val="lowerLetter"/>
      <w:pStyle w:val="Nivel2"/>
      <w:lvlText w:val="%2."/>
      <w:lvlJc w:val="left"/>
      <w:pPr>
        <w:ind w:left="1080" w:hanging="360"/>
      </w:pPr>
    </w:lvl>
    <w:lvl w:ilvl="2">
      <w:start w:val="1"/>
      <w:numFmt w:val="lowerRoman"/>
      <w:pStyle w:val="Nivel3"/>
      <w:lvlText w:val="%3."/>
      <w:lvlJc w:val="right"/>
      <w:pPr>
        <w:ind w:left="1800" w:hanging="180"/>
      </w:pPr>
    </w:lvl>
    <w:lvl w:ilvl="3">
      <w:start w:val="1"/>
      <w:numFmt w:val="decimal"/>
      <w:pStyle w:val="Nivel4"/>
      <w:lvlText w:val="%4."/>
      <w:lvlJc w:val="left"/>
      <w:pPr>
        <w:ind w:left="2520" w:hanging="360"/>
      </w:pPr>
    </w:lvl>
    <w:lvl w:ilvl="4">
      <w:start w:val="1"/>
      <w:numFmt w:val="lowerLetter"/>
      <w:pStyle w:val="Nivel5"/>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C38563E"/>
    <w:multiLevelType w:val="multilevel"/>
    <w:tmpl w:val="9B020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E691F94"/>
    <w:multiLevelType w:val="hybridMultilevel"/>
    <w:tmpl w:val="39304E3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EB331F3"/>
    <w:multiLevelType w:val="hybridMultilevel"/>
    <w:tmpl w:val="F7FAE896"/>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1541DC8"/>
    <w:multiLevelType w:val="hybridMultilevel"/>
    <w:tmpl w:val="9BAEDF2E"/>
    <w:lvl w:ilvl="0" w:tplc="F92A4AF8">
      <w:start w:val="1"/>
      <w:numFmt w:val="decimal"/>
      <w:lvlText w:val="%1."/>
      <w:lvlJc w:val="left"/>
      <w:pPr>
        <w:ind w:left="360" w:hanging="360"/>
      </w:pPr>
      <w:rPr>
        <w:rFonts w:hint="default"/>
        <w:sz w:val="20"/>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62412363"/>
    <w:multiLevelType w:val="hybridMultilevel"/>
    <w:tmpl w:val="779AEF24"/>
    <w:lvl w:ilvl="0" w:tplc="240A0005">
      <w:start w:val="1"/>
      <w:numFmt w:val="bullet"/>
      <w:lvlText w:val=""/>
      <w:lvlJc w:val="left"/>
      <w:pPr>
        <w:ind w:left="1080" w:hanging="360"/>
      </w:pPr>
      <w:rPr>
        <w:rFonts w:ascii="Wingdings" w:hAnsi="Wingdings"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0" w15:restartNumberingAfterBreak="0">
    <w:nsid w:val="6374223C"/>
    <w:multiLevelType w:val="hybridMultilevel"/>
    <w:tmpl w:val="0B6207D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15:restartNumberingAfterBreak="0">
    <w:nsid w:val="641261A3"/>
    <w:multiLevelType w:val="hybridMultilevel"/>
    <w:tmpl w:val="C570D26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4F41F5E"/>
    <w:multiLevelType w:val="hybridMultilevel"/>
    <w:tmpl w:val="5ECE66F4"/>
    <w:lvl w:ilvl="0" w:tplc="37226612">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D5C3668"/>
    <w:multiLevelType w:val="hybridMultilevel"/>
    <w:tmpl w:val="D5000924"/>
    <w:lvl w:ilvl="0" w:tplc="240A0005">
      <w:start w:val="1"/>
      <w:numFmt w:val="bullet"/>
      <w:lvlText w:val=""/>
      <w:lvlJc w:val="left"/>
      <w:pPr>
        <w:ind w:left="1440" w:hanging="360"/>
      </w:pPr>
      <w:rPr>
        <w:rFonts w:ascii="Wingdings" w:hAnsi="Wingdings"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4" w15:restartNumberingAfterBreak="0">
    <w:nsid w:val="71935471"/>
    <w:multiLevelType w:val="hybridMultilevel"/>
    <w:tmpl w:val="8A347032"/>
    <w:lvl w:ilvl="0" w:tplc="EA3A35DC">
      <w:numFmt w:val="bullet"/>
      <w:lvlText w:val="-"/>
      <w:lvlJc w:val="left"/>
      <w:pPr>
        <w:ind w:left="720" w:hanging="360"/>
      </w:pPr>
      <w:rPr>
        <w:rFonts w:ascii="Verdana" w:eastAsia="Times New Roman" w:hAnsi="Verdana"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2B147E7"/>
    <w:multiLevelType w:val="hybridMultilevel"/>
    <w:tmpl w:val="7C4CDCB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46F250C"/>
    <w:multiLevelType w:val="hybridMultilevel"/>
    <w:tmpl w:val="FB98B5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57E2339"/>
    <w:multiLevelType w:val="hybridMultilevel"/>
    <w:tmpl w:val="F538EF20"/>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24"/>
  </w:num>
  <w:num w:numId="2">
    <w:abstractNumId w:val="25"/>
  </w:num>
  <w:num w:numId="3">
    <w:abstractNumId w:val="36"/>
  </w:num>
  <w:num w:numId="4">
    <w:abstractNumId w:val="13"/>
  </w:num>
  <w:num w:numId="5">
    <w:abstractNumId w:val="26"/>
  </w:num>
  <w:num w:numId="6">
    <w:abstractNumId w:val="35"/>
  </w:num>
  <w:num w:numId="7">
    <w:abstractNumId w:val="6"/>
  </w:num>
  <w:num w:numId="8">
    <w:abstractNumId w:val="22"/>
  </w:num>
  <w:num w:numId="9">
    <w:abstractNumId w:val="4"/>
  </w:num>
  <w:num w:numId="10">
    <w:abstractNumId w:val="7"/>
  </w:num>
  <w:num w:numId="11">
    <w:abstractNumId w:val="17"/>
  </w:num>
  <w:num w:numId="12">
    <w:abstractNumId w:val="37"/>
  </w:num>
  <w:num w:numId="13">
    <w:abstractNumId w:val="29"/>
  </w:num>
  <w:num w:numId="14">
    <w:abstractNumId w:val="19"/>
  </w:num>
  <w:num w:numId="15">
    <w:abstractNumId w:val="32"/>
  </w:num>
  <w:num w:numId="16">
    <w:abstractNumId w:val="33"/>
  </w:num>
  <w:num w:numId="17">
    <w:abstractNumId w:val="20"/>
  </w:num>
  <w:num w:numId="18">
    <w:abstractNumId w:val="34"/>
  </w:num>
  <w:num w:numId="19">
    <w:abstractNumId w:val="8"/>
  </w:num>
  <w:num w:numId="20">
    <w:abstractNumId w:val="2"/>
  </w:num>
  <w:num w:numId="21">
    <w:abstractNumId w:val="10"/>
  </w:num>
  <w:num w:numId="22">
    <w:abstractNumId w:val="16"/>
  </w:num>
  <w:num w:numId="23">
    <w:abstractNumId w:val="0"/>
  </w:num>
  <w:num w:numId="24">
    <w:abstractNumId w:val="28"/>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9"/>
  </w:num>
  <w:num w:numId="28">
    <w:abstractNumId w:val="30"/>
  </w:num>
  <w:num w:numId="29">
    <w:abstractNumId w:val="15"/>
  </w:num>
  <w:num w:numId="30">
    <w:abstractNumId w:val="23"/>
  </w:num>
  <w:num w:numId="31">
    <w:abstractNumId w:val="12"/>
  </w:num>
  <w:num w:numId="32">
    <w:abstractNumId w:val="27"/>
  </w:num>
  <w:num w:numId="33">
    <w:abstractNumId w:val="11"/>
  </w:num>
  <w:num w:numId="34">
    <w:abstractNumId w:val="1"/>
  </w:num>
  <w:num w:numId="35">
    <w:abstractNumId w:val="14"/>
  </w:num>
  <w:num w:numId="36">
    <w:abstractNumId w:val="21"/>
  </w:num>
  <w:num w:numId="37">
    <w:abstractNumId w:val="31"/>
  </w:num>
  <w:num w:numId="38">
    <w:abstractNumId w:val="3"/>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983"/>
    <w:rsid w:val="000015C1"/>
    <w:rsid w:val="00001D7F"/>
    <w:rsid w:val="00024171"/>
    <w:rsid w:val="000378FB"/>
    <w:rsid w:val="00051257"/>
    <w:rsid w:val="00052450"/>
    <w:rsid w:val="00076B3C"/>
    <w:rsid w:val="0008210D"/>
    <w:rsid w:val="0008226B"/>
    <w:rsid w:val="00084002"/>
    <w:rsid w:val="000A2032"/>
    <w:rsid w:val="000C5A39"/>
    <w:rsid w:val="000D0FE5"/>
    <w:rsid w:val="000D2F11"/>
    <w:rsid w:val="000F099A"/>
    <w:rsid w:val="000F403F"/>
    <w:rsid w:val="000F525F"/>
    <w:rsid w:val="000F7D73"/>
    <w:rsid w:val="001113E5"/>
    <w:rsid w:val="001116E9"/>
    <w:rsid w:val="00112C06"/>
    <w:rsid w:val="001208BF"/>
    <w:rsid w:val="001313A0"/>
    <w:rsid w:val="001375A7"/>
    <w:rsid w:val="00137792"/>
    <w:rsid w:val="0014233E"/>
    <w:rsid w:val="00142CB9"/>
    <w:rsid w:val="0014580B"/>
    <w:rsid w:val="00150974"/>
    <w:rsid w:val="00185CE1"/>
    <w:rsid w:val="001939BB"/>
    <w:rsid w:val="0019552B"/>
    <w:rsid w:val="001B528C"/>
    <w:rsid w:val="001B5848"/>
    <w:rsid w:val="001B6888"/>
    <w:rsid w:val="001C4A97"/>
    <w:rsid w:val="001C50E6"/>
    <w:rsid w:val="001D1DF8"/>
    <w:rsid w:val="001E75B0"/>
    <w:rsid w:val="0020013A"/>
    <w:rsid w:val="00201D31"/>
    <w:rsid w:val="0021167D"/>
    <w:rsid w:val="00213180"/>
    <w:rsid w:val="0022132E"/>
    <w:rsid w:val="0022257E"/>
    <w:rsid w:val="00223CA5"/>
    <w:rsid w:val="0023663C"/>
    <w:rsid w:val="0025017B"/>
    <w:rsid w:val="00251A8B"/>
    <w:rsid w:val="002600C9"/>
    <w:rsid w:val="0026220B"/>
    <w:rsid w:val="00262AAF"/>
    <w:rsid w:val="00267C1D"/>
    <w:rsid w:val="002703C3"/>
    <w:rsid w:val="00275415"/>
    <w:rsid w:val="002758D8"/>
    <w:rsid w:val="00280F9A"/>
    <w:rsid w:val="00282C44"/>
    <w:rsid w:val="002906DE"/>
    <w:rsid w:val="00292DBE"/>
    <w:rsid w:val="002A4CED"/>
    <w:rsid w:val="002C23F3"/>
    <w:rsid w:val="002C4C15"/>
    <w:rsid w:val="002C66AB"/>
    <w:rsid w:val="002E67EE"/>
    <w:rsid w:val="002F6519"/>
    <w:rsid w:val="00313043"/>
    <w:rsid w:val="003202B4"/>
    <w:rsid w:val="00321268"/>
    <w:rsid w:val="00323968"/>
    <w:rsid w:val="00326F04"/>
    <w:rsid w:val="00327EE9"/>
    <w:rsid w:val="0034727B"/>
    <w:rsid w:val="00350364"/>
    <w:rsid w:val="003561F1"/>
    <w:rsid w:val="003611EF"/>
    <w:rsid w:val="0036314B"/>
    <w:rsid w:val="003639CF"/>
    <w:rsid w:val="00366091"/>
    <w:rsid w:val="003740A7"/>
    <w:rsid w:val="00381BE0"/>
    <w:rsid w:val="00387DDA"/>
    <w:rsid w:val="0039082B"/>
    <w:rsid w:val="003A093D"/>
    <w:rsid w:val="003A7EEB"/>
    <w:rsid w:val="003B499D"/>
    <w:rsid w:val="003B4ED7"/>
    <w:rsid w:val="003B759E"/>
    <w:rsid w:val="003D234B"/>
    <w:rsid w:val="003D61F5"/>
    <w:rsid w:val="003D7626"/>
    <w:rsid w:val="003E2065"/>
    <w:rsid w:val="003E2D64"/>
    <w:rsid w:val="003E7004"/>
    <w:rsid w:val="003F28E4"/>
    <w:rsid w:val="00402555"/>
    <w:rsid w:val="0041139D"/>
    <w:rsid w:val="00412969"/>
    <w:rsid w:val="00412FC8"/>
    <w:rsid w:val="004156BC"/>
    <w:rsid w:val="0043199B"/>
    <w:rsid w:val="004418FE"/>
    <w:rsid w:val="00442F08"/>
    <w:rsid w:val="00450862"/>
    <w:rsid w:val="00462EA8"/>
    <w:rsid w:val="00466B8F"/>
    <w:rsid w:val="0046776D"/>
    <w:rsid w:val="00473DC0"/>
    <w:rsid w:val="0048478B"/>
    <w:rsid w:val="0048656D"/>
    <w:rsid w:val="00495975"/>
    <w:rsid w:val="004B0855"/>
    <w:rsid w:val="004B2B5D"/>
    <w:rsid w:val="004B3AB5"/>
    <w:rsid w:val="004C4342"/>
    <w:rsid w:val="004D046F"/>
    <w:rsid w:val="004F2C9B"/>
    <w:rsid w:val="00500734"/>
    <w:rsid w:val="00506CC8"/>
    <w:rsid w:val="00511962"/>
    <w:rsid w:val="00524F3C"/>
    <w:rsid w:val="00530852"/>
    <w:rsid w:val="00530A9F"/>
    <w:rsid w:val="005452DF"/>
    <w:rsid w:val="0055398A"/>
    <w:rsid w:val="00555D67"/>
    <w:rsid w:val="00556094"/>
    <w:rsid w:val="005675E9"/>
    <w:rsid w:val="005771B0"/>
    <w:rsid w:val="005814CA"/>
    <w:rsid w:val="005817B8"/>
    <w:rsid w:val="0058226B"/>
    <w:rsid w:val="00595B59"/>
    <w:rsid w:val="005B53E6"/>
    <w:rsid w:val="005C379E"/>
    <w:rsid w:val="005C75B2"/>
    <w:rsid w:val="005D0B2D"/>
    <w:rsid w:val="005D48D3"/>
    <w:rsid w:val="005D7C4C"/>
    <w:rsid w:val="005F56D1"/>
    <w:rsid w:val="0060078E"/>
    <w:rsid w:val="00601157"/>
    <w:rsid w:val="00605D71"/>
    <w:rsid w:val="00611156"/>
    <w:rsid w:val="006152C2"/>
    <w:rsid w:val="006308DA"/>
    <w:rsid w:val="00631932"/>
    <w:rsid w:val="00643788"/>
    <w:rsid w:val="00650D27"/>
    <w:rsid w:val="0067256F"/>
    <w:rsid w:val="0067477E"/>
    <w:rsid w:val="0067485E"/>
    <w:rsid w:val="00680231"/>
    <w:rsid w:val="006915E5"/>
    <w:rsid w:val="006A41B8"/>
    <w:rsid w:val="006A69FE"/>
    <w:rsid w:val="006B580F"/>
    <w:rsid w:val="006D363D"/>
    <w:rsid w:val="006D3835"/>
    <w:rsid w:val="006D63B8"/>
    <w:rsid w:val="006E2A9D"/>
    <w:rsid w:val="006E56A5"/>
    <w:rsid w:val="006F4547"/>
    <w:rsid w:val="00701B04"/>
    <w:rsid w:val="00711503"/>
    <w:rsid w:val="0071532A"/>
    <w:rsid w:val="00723CA5"/>
    <w:rsid w:val="00723FDC"/>
    <w:rsid w:val="00735928"/>
    <w:rsid w:val="00765481"/>
    <w:rsid w:val="00767508"/>
    <w:rsid w:val="0078188C"/>
    <w:rsid w:val="0078212B"/>
    <w:rsid w:val="0078364C"/>
    <w:rsid w:val="007849E0"/>
    <w:rsid w:val="0078530C"/>
    <w:rsid w:val="007864B2"/>
    <w:rsid w:val="00790902"/>
    <w:rsid w:val="00790928"/>
    <w:rsid w:val="007A0ABB"/>
    <w:rsid w:val="007A0C35"/>
    <w:rsid w:val="007A77AF"/>
    <w:rsid w:val="007A78F9"/>
    <w:rsid w:val="007B6024"/>
    <w:rsid w:val="007C4EA0"/>
    <w:rsid w:val="007F2F35"/>
    <w:rsid w:val="007F640A"/>
    <w:rsid w:val="0081003D"/>
    <w:rsid w:val="008175FB"/>
    <w:rsid w:val="00820C6F"/>
    <w:rsid w:val="0082756F"/>
    <w:rsid w:val="00853B5D"/>
    <w:rsid w:val="00863B90"/>
    <w:rsid w:val="00865EB8"/>
    <w:rsid w:val="00867A24"/>
    <w:rsid w:val="008714D9"/>
    <w:rsid w:val="00875D71"/>
    <w:rsid w:val="008916B0"/>
    <w:rsid w:val="008B2C35"/>
    <w:rsid w:val="008C128A"/>
    <w:rsid w:val="008C2BE0"/>
    <w:rsid w:val="008C3C1E"/>
    <w:rsid w:val="008C6D48"/>
    <w:rsid w:val="008C7333"/>
    <w:rsid w:val="008D6CC0"/>
    <w:rsid w:val="008E1DB6"/>
    <w:rsid w:val="008F3C55"/>
    <w:rsid w:val="00901E60"/>
    <w:rsid w:val="00902E85"/>
    <w:rsid w:val="0091073A"/>
    <w:rsid w:val="00911F7E"/>
    <w:rsid w:val="0091312F"/>
    <w:rsid w:val="009132D1"/>
    <w:rsid w:val="009242BD"/>
    <w:rsid w:val="00962848"/>
    <w:rsid w:val="00963173"/>
    <w:rsid w:val="00964F40"/>
    <w:rsid w:val="00981638"/>
    <w:rsid w:val="00990F21"/>
    <w:rsid w:val="0099745F"/>
    <w:rsid w:val="00997659"/>
    <w:rsid w:val="00997849"/>
    <w:rsid w:val="009A1F17"/>
    <w:rsid w:val="009A55CA"/>
    <w:rsid w:val="009A5E50"/>
    <w:rsid w:val="009B1AB3"/>
    <w:rsid w:val="009B29ED"/>
    <w:rsid w:val="009C1EA8"/>
    <w:rsid w:val="009D4ADE"/>
    <w:rsid w:val="009F0674"/>
    <w:rsid w:val="009F1A46"/>
    <w:rsid w:val="009F262D"/>
    <w:rsid w:val="009F6B24"/>
    <w:rsid w:val="009F79B5"/>
    <w:rsid w:val="00A0325F"/>
    <w:rsid w:val="00A2427B"/>
    <w:rsid w:val="00A3345D"/>
    <w:rsid w:val="00A42AF2"/>
    <w:rsid w:val="00A4446A"/>
    <w:rsid w:val="00A546EF"/>
    <w:rsid w:val="00A642A5"/>
    <w:rsid w:val="00A6722F"/>
    <w:rsid w:val="00A67727"/>
    <w:rsid w:val="00A748CA"/>
    <w:rsid w:val="00A822D1"/>
    <w:rsid w:val="00A87384"/>
    <w:rsid w:val="00A957D8"/>
    <w:rsid w:val="00AB4B88"/>
    <w:rsid w:val="00AC0053"/>
    <w:rsid w:val="00AC01D9"/>
    <w:rsid w:val="00AC29A3"/>
    <w:rsid w:val="00AD0D28"/>
    <w:rsid w:val="00AE01B5"/>
    <w:rsid w:val="00AE2AAD"/>
    <w:rsid w:val="00AE535E"/>
    <w:rsid w:val="00AE56DF"/>
    <w:rsid w:val="00AF1041"/>
    <w:rsid w:val="00B0226C"/>
    <w:rsid w:val="00B11334"/>
    <w:rsid w:val="00B12E49"/>
    <w:rsid w:val="00B22CCE"/>
    <w:rsid w:val="00B27F5F"/>
    <w:rsid w:val="00B34C7C"/>
    <w:rsid w:val="00B36B33"/>
    <w:rsid w:val="00B40AC1"/>
    <w:rsid w:val="00B41BFA"/>
    <w:rsid w:val="00B45738"/>
    <w:rsid w:val="00B45C59"/>
    <w:rsid w:val="00B5406F"/>
    <w:rsid w:val="00B5622F"/>
    <w:rsid w:val="00B56FFD"/>
    <w:rsid w:val="00B57A69"/>
    <w:rsid w:val="00B77070"/>
    <w:rsid w:val="00B854F1"/>
    <w:rsid w:val="00BA5E98"/>
    <w:rsid w:val="00BB23ED"/>
    <w:rsid w:val="00BB4A11"/>
    <w:rsid w:val="00BB4D96"/>
    <w:rsid w:val="00BC0C10"/>
    <w:rsid w:val="00BC22BB"/>
    <w:rsid w:val="00BC4864"/>
    <w:rsid w:val="00BD3534"/>
    <w:rsid w:val="00BD3DBF"/>
    <w:rsid w:val="00BD6169"/>
    <w:rsid w:val="00BD6618"/>
    <w:rsid w:val="00BE37CB"/>
    <w:rsid w:val="00BF09DE"/>
    <w:rsid w:val="00BF69B5"/>
    <w:rsid w:val="00C040FE"/>
    <w:rsid w:val="00C10998"/>
    <w:rsid w:val="00C215AD"/>
    <w:rsid w:val="00C33FB4"/>
    <w:rsid w:val="00C35356"/>
    <w:rsid w:val="00C3645A"/>
    <w:rsid w:val="00C36BCB"/>
    <w:rsid w:val="00C41CE0"/>
    <w:rsid w:val="00C43EDE"/>
    <w:rsid w:val="00C4496B"/>
    <w:rsid w:val="00C5159A"/>
    <w:rsid w:val="00C5293B"/>
    <w:rsid w:val="00C53AF0"/>
    <w:rsid w:val="00C5692A"/>
    <w:rsid w:val="00C62691"/>
    <w:rsid w:val="00C62F34"/>
    <w:rsid w:val="00C65253"/>
    <w:rsid w:val="00C71C46"/>
    <w:rsid w:val="00C74C51"/>
    <w:rsid w:val="00C81BC0"/>
    <w:rsid w:val="00C859E5"/>
    <w:rsid w:val="00C85C7F"/>
    <w:rsid w:val="00CA3DFD"/>
    <w:rsid w:val="00CB3A0E"/>
    <w:rsid w:val="00CB657A"/>
    <w:rsid w:val="00CC4529"/>
    <w:rsid w:val="00CC6CEF"/>
    <w:rsid w:val="00CD1779"/>
    <w:rsid w:val="00CE6393"/>
    <w:rsid w:val="00CF6FB0"/>
    <w:rsid w:val="00D0320F"/>
    <w:rsid w:val="00D0429B"/>
    <w:rsid w:val="00D05BA1"/>
    <w:rsid w:val="00D13566"/>
    <w:rsid w:val="00D15C4E"/>
    <w:rsid w:val="00D3052A"/>
    <w:rsid w:val="00D3302F"/>
    <w:rsid w:val="00D356FB"/>
    <w:rsid w:val="00D37117"/>
    <w:rsid w:val="00D37EBB"/>
    <w:rsid w:val="00D43B4D"/>
    <w:rsid w:val="00D43F30"/>
    <w:rsid w:val="00D472EA"/>
    <w:rsid w:val="00D64834"/>
    <w:rsid w:val="00D72C94"/>
    <w:rsid w:val="00D83B78"/>
    <w:rsid w:val="00D86AB0"/>
    <w:rsid w:val="00D928DB"/>
    <w:rsid w:val="00D9298D"/>
    <w:rsid w:val="00DA291A"/>
    <w:rsid w:val="00DC5EFA"/>
    <w:rsid w:val="00DD1303"/>
    <w:rsid w:val="00DD1D85"/>
    <w:rsid w:val="00DF5B06"/>
    <w:rsid w:val="00E03594"/>
    <w:rsid w:val="00E07F30"/>
    <w:rsid w:val="00E133A3"/>
    <w:rsid w:val="00E17F87"/>
    <w:rsid w:val="00E2022B"/>
    <w:rsid w:val="00E232DB"/>
    <w:rsid w:val="00E358A5"/>
    <w:rsid w:val="00E41C44"/>
    <w:rsid w:val="00E451B5"/>
    <w:rsid w:val="00E521E5"/>
    <w:rsid w:val="00E55983"/>
    <w:rsid w:val="00E56EF7"/>
    <w:rsid w:val="00E57880"/>
    <w:rsid w:val="00E66F02"/>
    <w:rsid w:val="00E704EC"/>
    <w:rsid w:val="00E713B7"/>
    <w:rsid w:val="00E76C9F"/>
    <w:rsid w:val="00E77BDF"/>
    <w:rsid w:val="00E81EE7"/>
    <w:rsid w:val="00E85331"/>
    <w:rsid w:val="00E872C5"/>
    <w:rsid w:val="00E9127D"/>
    <w:rsid w:val="00E9224A"/>
    <w:rsid w:val="00E935ED"/>
    <w:rsid w:val="00E94436"/>
    <w:rsid w:val="00EA02F6"/>
    <w:rsid w:val="00EA128F"/>
    <w:rsid w:val="00EA40E9"/>
    <w:rsid w:val="00EA41A5"/>
    <w:rsid w:val="00EA64A8"/>
    <w:rsid w:val="00EB5468"/>
    <w:rsid w:val="00EC6CE5"/>
    <w:rsid w:val="00ED0285"/>
    <w:rsid w:val="00ED124F"/>
    <w:rsid w:val="00EE27F8"/>
    <w:rsid w:val="00EF045E"/>
    <w:rsid w:val="00EF0B32"/>
    <w:rsid w:val="00F108A3"/>
    <w:rsid w:val="00F14958"/>
    <w:rsid w:val="00F15031"/>
    <w:rsid w:val="00F23F6A"/>
    <w:rsid w:val="00F33F97"/>
    <w:rsid w:val="00F3476A"/>
    <w:rsid w:val="00F52177"/>
    <w:rsid w:val="00F52872"/>
    <w:rsid w:val="00F54A62"/>
    <w:rsid w:val="00F56E6C"/>
    <w:rsid w:val="00F57913"/>
    <w:rsid w:val="00F62B4B"/>
    <w:rsid w:val="00F653A0"/>
    <w:rsid w:val="00F93213"/>
    <w:rsid w:val="00F935AA"/>
    <w:rsid w:val="00FA3EC6"/>
    <w:rsid w:val="00FB19C8"/>
    <w:rsid w:val="00FB33B0"/>
    <w:rsid w:val="00FE3017"/>
    <w:rsid w:val="00FF2108"/>
    <w:rsid w:val="00FF29AB"/>
    <w:rsid w:val="00FF6F84"/>
    <w:rsid w:val="00FF7C0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020EA"/>
  <w15:docId w15:val="{70BD8642-0026-4B9D-9A78-3FAAC19DD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5E5"/>
    <w:rPr>
      <w:lang w:eastAsia="es-ES_tradnl"/>
    </w:rPr>
  </w:style>
  <w:style w:type="paragraph" w:styleId="Ttulo1">
    <w:name w:val="heading 1"/>
    <w:aliases w:val="ARTICULO 1º,Negrita"/>
    <w:basedOn w:val="Normal"/>
    <w:next w:val="Normal"/>
    <w:uiPriority w:val="9"/>
    <w:qFormat/>
    <w:rsid w:val="002628DB"/>
    <w:pPr>
      <w:keepNext/>
      <w:jc w:val="both"/>
      <w:outlineLvl w:val="0"/>
    </w:pPr>
    <w:rPr>
      <w:szCs w:val="20"/>
      <w:lang w:val="es-MX" w:eastAsia="es-ES"/>
    </w:rPr>
  </w:style>
  <w:style w:type="paragraph" w:styleId="Ttulo2">
    <w:name w:val="heading 2"/>
    <w:basedOn w:val="Normal"/>
    <w:next w:val="Normal"/>
    <w:link w:val="Ttulo2Car"/>
    <w:uiPriority w:val="9"/>
    <w:semiHidden/>
    <w:unhideWhenUsed/>
    <w:qFormat/>
    <w:rsid w:val="001F57DA"/>
    <w:pPr>
      <w:keepNext/>
      <w:keepLines/>
      <w:spacing w:before="40"/>
      <w:outlineLvl w:val="1"/>
    </w:pPr>
    <w:rPr>
      <w:rFonts w:asciiTheme="majorHAnsi" w:eastAsiaTheme="majorEastAsia" w:hAnsiTheme="majorHAnsi" w:cstheme="majorBidi"/>
      <w:color w:val="365F91" w:themeColor="accent1" w:themeShade="BF"/>
      <w:sz w:val="26"/>
      <w:szCs w:val="26"/>
      <w:lang w:eastAsia="es-ES"/>
    </w:rPr>
  </w:style>
  <w:style w:type="paragraph" w:styleId="Ttulo3">
    <w:name w:val="heading 3"/>
    <w:basedOn w:val="Normal"/>
    <w:next w:val="Normal"/>
    <w:link w:val="Ttulo3Car"/>
    <w:uiPriority w:val="9"/>
    <w:semiHidden/>
    <w:unhideWhenUsed/>
    <w:qFormat/>
    <w:rsid w:val="001F57DA"/>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rsid w:val="00F15C11"/>
    <w:pPr>
      <w:spacing w:before="240" w:after="60"/>
      <w:outlineLvl w:val="4"/>
    </w:pPr>
    <w:rPr>
      <w:b/>
      <w:bCs/>
      <w:i/>
      <w:iCs/>
      <w:sz w:val="26"/>
      <w:szCs w:val="26"/>
      <w:lang w:val="es-ES"/>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A58F1"/>
    <w:pPr>
      <w:contextualSpacing/>
    </w:pPr>
    <w:rPr>
      <w:rFonts w:asciiTheme="majorHAnsi" w:eastAsiaTheme="majorEastAsia" w:hAnsiTheme="majorHAnsi" w:cstheme="majorBidi"/>
      <w:spacing w:val="-10"/>
      <w:kern w:val="28"/>
      <w:sz w:val="56"/>
      <w:szCs w:val="56"/>
      <w:lang w:eastAsia="es-ES"/>
    </w:rPr>
  </w:style>
  <w:style w:type="paragraph" w:customStyle="1" w:styleId="Nivel1">
    <w:name w:val="Nivel1"/>
    <w:basedOn w:val="Normal"/>
    <w:next w:val="Normal"/>
    <w:rsid w:val="002628DB"/>
    <w:pPr>
      <w:numPr>
        <w:numId w:val="1"/>
      </w:numPr>
      <w:spacing w:before="480" w:after="120"/>
      <w:jc w:val="both"/>
      <w:outlineLvl w:val="0"/>
    </w:pPr>
    <w:rPr>
      <w:rFonts w:ascii="Arial" w:hAnsi="Arial"/>
      <w:b/>
      <w:caps/>
      <w:szCs w:val="20"/>
      <w:lang w:eastAsia="es-ES"/>
    </w:rPr>
  </w:style>
  <w:style w:type="paragraph" w:customStyle="1" w:styleId="Nivel2">
    <w:name w:val="Nivel2"/>
    <w:basedOn w:val="Normal"/>
    <w:next w:val="Normal"/>
    <w:rsid w:val="002628DB"/>
    <w:pPr>
      <w:numPr>
        <w:ilvl w:val="1"/>
        <w:numId w:val="1"/>
      </w:numPr>
      <w:spacing w:before="360" w:after="120"/>
      <w:jc w:val="both"/>
    </w:pPr>
    <w:rPr>
      <w:rFonts w:ascii="Arial" w:hAnsi="Arial"/>
      <w:caps/>
      <w:szCs w:val="20"/>
      <w:lang w:eastAsia="es-ES"/>
    </w:rPr>
  </w:style>
  <w:style w:type="paragraph" w:customStyle="1" w:styleId="Nivel3">
    <w:name w:val="Nivel3"/>
    <w:basedOn w:val="Normal"/>
    <w:next w:val="Normal"/>
    <w:rsid w:val="002628DB"/>
    <w:pPr>
      <w:numPr>
        <w:ilvl w:val="2"/>
        <w:numId w:val="1"/>
      </w:numPr>
      <w:spacing w:before="240" w:after="120"/>
      <w:jc w:val="both"/>
    </w:pPr>
    <w:rPr>
      <w:rFonts w:ascii="Arial" w:hAnsi="Arial"/>
      <w:szCs w:val="20"/>
      <w:lang w:eastAsia="es-ES"/>
    </w:rPr>
  </w:style>
  <w:style w:type="paragraph" w:customStyle="1" w:styleId="Nivel4">
    <w:name w:val="Nivel4"/>
    <w:basedOn w:val="Normal"/>
    <w:rsid w:val="002628DB"/>
    <w:pPr>
      <w:numPr>
        <w:ilvl w:val="3"/>
        <w:numId w:val="1"/>
      </w:numPr>
      <w:spacing w:before="120" w:after="120"/>
      <w:jc w:val="both"/>
    </w:pPr>
    <w:rPr>
      <w:rFonts w:ascii="Arial" w:hAnsi="Arial"/>
      <w:szCs w:val="20"/>
      <w:lang w:eastAsia="es-ES"/>
    </w:rPr>
  </w:style>
  <w:style w:type="paragraph" w:customStyle="1" w:styleId="Nivel5">
    <w:name w:val="Nivel5"/>
    <w:basedOn w:val="Normal"/>
    <w:rsid w:val="002628DB"/>
    <w:pPr>
      <w:numPr>
        <w:ilvl w:val="4"/>
        <w:numId w:val="1"/>
      </w:numPr>
      <w:spacing w:before="120" w:after="120"/>
      <w:jc w:val="both"/>
    </w:pPr>
    <w:rPr>
      <w:rFonts w:ascii="Arial" w:hAnsi="Arial"/>
      <w:szCs w:val="20"/>
      <w:lang w:eastAsia="es-ES"/>
    </w:rPr>
  </w:style>
  <w:style w:type="paragraph" w:styleId="Encabezado">
    <w:name w:val="header"/>
    <w:basedOn w:val="Normal"/>
    <w:link w:val="EncabezadoCar"/>
    <w:uiPriority w:val="99"/>
    <w:rsid w:val="002628DB"/>
    <w:pPr>
      <w:tabs>
        <w:tab w:val="center" w:pos="4252"/>
        <w:tab w:val="right" w:pos="8504"/>
      </w:tabs>
    </w:pPr>
    <w:rPr>
      <w:lang w:eastAsia="es-ES"/>
    </w:rPr>
  </w:style>
  <w:style w:type="paragraph" w:styleId="Piedepgina">
    <w:name w:val="footer"/>
    <w:basedOn w:val="Normal"/>
    <w:link w:val="PiedepginaCar"/>
    <w:uiPriority w:val="99"/>
    <w:rsid w:val="002628DB"/>
    <w:pPr>
      <w:tabs>
        <w:tab w:val="center" w:pos="4252"/>
        <w:tab w:val="right" w:pos="8504"/>
      </w:tabs>
    </w:pPr>
    <w:rPr>
      <w:lang w:eastAsia="es-ES"/>
    </w:rPr>
  </w:style>
  <w:style w:type="character" w:styleId="Hipervnculo">
    <w:name w:val="Hyperlink"/>
    <w:basedOn w:val="Fuentedeprrafopredeter"/>
    <w:rsid w:val="002628DB"/>
    <w:rPr>
      <w:color w:val="0000FF"/>
      <w:u w:val="single"/>
    </w:rPr>
  </w:style>
  <w:style w:type="character" w:styleId="Nmerodepgina">
    <w:name w:val="page number"/>
    <w:basedOn w:val="Fuentedeprrafopredeter"/>
    <w:rsid w:val="002628DB"/>
  </w:style>
  <w:style w:type="paragraph" w:styleId="Mapadeldocumento">
    <w:name w:val="Document Map"/>
    <w:basedOn w:val="Normal"/>
    <w:semiHidden/>
    <w:rsid w:val="002628DB"/>
    <w:pPr>
      <w:shd w:val="clear" w:color="auto" w:fill="000080"/>
    </w:pPr>
    <w:rPr>
      <w:rFonts w:ascii="Tahoma" w:hAnsi="Tahoma" w:cs="Tahoma"/>
      <w:sz w:val="20"/>
      <w:szCs w:val="20"/>
    </w:rPr>
  </w:style>
  <w:style w:type="paragraph" w:styleId="Textodeglobo">
    <w:name w:val="Balloon Text"/>
    <w:basedOn w:val="Normal"/>
    <w:link w:val="TextodegloboCar"/>
    <w:semiHidden/>
    <w:rsid w:val="002628DB"/>
    <w:rPr>
      <w:rFonts w:ascii="Tahoma" w:hAnsi="Tahoma" w:cs="Tahoma"/>
      <w:sz w:val="16"/>
      <w:szCs w:val="16"/>
    </w:rPr>
  </w:style>
  <w:style w:type="character" w:customStyle="1" w:styleId="TextodegloboCar">
    <w:name w:val="Texto de globo Car"/>
    <w:basedOn w:val="Fuentedeprrafopredeter"/>
    <w:link w:val="Textodeglobo"/>
    <w:rsid w:val="00F15C11"/>
    <w:rPr>
      <w:rFonts w:ascii="Tahoma" w:hAnsi="Tahoma" w:cs="Tahoma"/>
      <w:sz w:val="16"/>
      <w:szCs w:val="16"/>
      <w:lang w:val="es-CO" w:eastAsia="es-ES" w:bidi="ar-SA"/>
    </w:rPr>
  </w:style>
  <w:style w:type="table" w:styleId="Tablaconcuadrcula">
    <w:name w:val="Table Grid"/>
    <w:basedOn w:val="Tablanormal"/>
    <w:uiPriority w:val="39"/>
    <w:rsid w:val="00F15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rsid w:val="00F15C11"/>
    <w:pPr>
      <w:spacing w:after="120"/>
    </w:pPr>
    <w:rPr>
      <w:lang w:val="es-ES" w:eastAsia="es-ES"/>
    </w:rPr>
  </w:style>
  <w:style w:type="character" w:styleId="Refdecomentario">
    <w:name w:val="annotation reference"/>
    <w:basedOn w:val="Fuentedeprrafopredeter"/>
    <w:uiPriority w:val="99"/>
    <w:semiHidden/>
    <w:rsid w:val="00F15C11"/>
    <w:rPr>
      <w:sz w:val="16"/>
      <w:szCs w:val="16"/>
    </w:rPr>
  </w:style>
  <w:style w:type="paragraph" w:styleId="Textocomentario">
    <w:name w:val="annotation text"/>
    <w:basedOn w:val="Normal"/>
    <w:link w:val="TextocomentarioCar"/>
    <w:uiPriority w:val="99"/>
    <w:semiHidden/>
    <w:rsid w:val="00F15C11"/>
    <w:rPr>
      <w:sz w:val="20"/>
      <w:szCs w:val="20"/>
      <w:lang w:val="es-ES"/>
    </w:rPr>
  </w:style>
  <w:style w:type="paragraph" w:customStyle="1" w:styleId="Prrafodelista1">
    <w:name w:val="Párrafo de lista1"/>
    <w:basedOn w:val="Normal"/>
    <w:rsid w:val="0047689E"/>
    <w:pPr>
      <w:spacing w:after="200" w:line="276" w:lineRule="auto"/>
      <w:ind w:left="720"/>
      <w:contextualSpacing/>
    </w:pPr>
    <w:rPr>
      <w:rFonts w:ascii="Calibri" w:hAnsi="Calibri"/>
      <w:sz w:val="22"/>
      <w:szCs w:val="22"/>
      <w:lang w:val="es-ES" w:eastAsia="en-US"/>
    </w:rPr>
  </w:style>
  <w:style w:type="paragraph" w:styleId="Textonotapie">
    <w:name w:val="footnote text"/>
    <w:basedOn w:val="Normal"/>
    <w:semiHidden/>
    <w:rsid w:val="00C17AA0"/>
    <w:rPr>
      <w:sz w:val="20"/>
      <w:szCs w:val="20"/>
      <w:lang w:val="es-ES" w:eastAsia="es-ES"/>
    </w:rPr>
  </w:style>
  <w:style w:type="character" w:styleId="Refdenotaalpie">
    <w:name w:val="footnote reference"/>
    <w:basedOn w:val="Fuentedeprrafopredeter"/>
    <w:semiHidden/>
    <w:rsid w:val="00C17AA0"/>
    <w:rPr>
      <w:vertAlign w:val="superscript"/>
    </w:rPr>
  </w:style>
  <w:style w:type="paragraph" w:styleId="Asuntodelcomentario">
    <w:name w:val="annotation subject"/>
    <w:basedOn w:val="Textocomentario"/>
    <w:next w:val="Textocomentario"/>
    <w:semiHidden/>
    <w:rsid w:val="0005455C"/>
    <w:rPr>
      <w:b/>
      <w:bCs/>
      <w:lang w:val="es-CO"/>
    </w:rPr>
  </w:style>
  <w:style w:type="paragraph" w:styleId="Prrafodelista">
    <w:name w:val="List Paragraph"/>
    <w:basedOn w:val="Normal"/>
    <w:link w:val="PrrafodelistaCar"/>
    <w:uiPriority w:val="34"/>
    <w:qFormat/>
    <w:rsid w:val="00164037"/>
    <w:pPr>
      <w:ind w:left="708"/>
    </w:pPr>
    <w:rPr>
      <w:rFonts w:ascii="Arial" w:hAnsi="Arial"/>
      <w:spacing w:val="-20"/>
      <w:sz w:val="28"/>
      <w:szCs w:val="20"/>
      <w:lang w:eastAsia="es-ES"/>
    </w:rPr>
  </w:style>
  <w:style w:type="paragraph" w:customStyle="1" w:styleId="Textoindependiente21">
    <w:name w:val="Texto independiente 21"/>
    <w:basedOn w:val="Normal"/>
    <w:rsid w:val="00BB455C"/>
    <w:pPr>
      <w:spacing w:line="360" w:lineRule="auto"/>
      <w:jc w:val="both"/>
    </w:pPr>
    <w:rPr>
      <w:rFonts w:ascii="Arial" w:hAnsi="Arial"/>
      <w:szCs w:val="20"/>
      <w:lang w:eastAsia="es-ES"/>
    </w:rPr>
  </w:style>
  <w:style w:type="paragraph" w:styleId="NormalWeb">
    <w:name w:val="Normal (Web)"/>
    <w:basedOn w:val="Normal"/>
    <w:uiPriority w:val="99"/>
    <w:rsid w:val="00E65BE5"/>
    <w:pPr>
      <w:spacing w:before="100" w:beforeAutospacing="1" w:after="100" w:afterAutospacing="1"/>
    </w:pPr>
    <w:rPr>
      <w:lang w:val="es-ES" w:eastAsia="es-ES"/>
    </w:rPr>
  </w:style>
  <w:style w:type="character" w:customStyle="1" w:styleId="PrrafodelistaCar">
    <w:name w:val="Párrafo de lista Car"/>
    <w:link w:val="Prrafodelista"/>
    <w:uiPriority w:val="34"/>
    <w:rsid w:val="00C07A4F"/>
    <w:rPr>
      <w:rFonts w:ascii="Arial" w:hAnsi="Arial"/>
      <w:spacing w:val="-20"/>
      <w:sz w:val="28"/>
      <w:lang w:val="es-CO" w:eastAsia="es-ES"/>
    </w:rPr>
  </w:style>
  <w:style w:type="character" w:customStyle="1" w:styleId="TextocomentarioCar">
    <w:name w:val="Texto comentario Car"/>
    <w:basedOn w:val="Fuentedeprrafopredeter"/>
    <w:link w:val="Textocomentario"/>
    <w:uiPriority w:val="99"/>
    <w:semiHidden/>
    <w:rsid w:val="00566423"/>
    <w:rPr>
      <w:lang w:val="es-ES" w:eastAsia="es-ES"/>
    </w:rPr>
  </w:style>
  <w:style w:type="paragraph" w:customStyle="1" w:styleId="Textocomentario1">
    <w:name w:val="Texto comentario1"/>
    <w:basedOn w:val="Normal"/>
    <w:rsid w:val="00AB3F3D"/>
    <w:pPr>
      <w:suppressAutoHyphens/>
      <w:jc w:val="both"/>
    </w:pPr>
    <w:rPr>
      <w:rFonts w:ascii="Verdana" w:hAnsi="Verdana" w:cs="Tahoma"/>
      <w:lang w:val="es-ES" w:eastAsia="zh-CN"/>
    </w:rPr>
  </w:style>
  <w:style w:type="paragraph" w:styleId="Descripcin">
    <w:name w:val="caption"/>
    <w:basedOn w:val="Normal"/>
    <w:next w:val="Normal"/>
    <w:link w:val="DescripcinCar"/>
    <w:uiPriority w:val="35"/>
    <w:unhideWhenUsed/>
    <w:qFormat/>
    <w:rsid w:val="00DF4072"/>
    <w:pPr>
      <w:spacing w:after="240"/>
      <w:jc w:val="both"/>
    </w:pPr>
    <w:rPr>
      <w:rFonts w:asciiTheme="minorHAnsi" w:eastAsiaTheme="minorHAnsi" w:hAnsiTheme="minorHAnsi" w:cstheme="minorBidi"/>
      <w:b/>
      <w:bCs/>
      <w:sz w:val="18"/>
      <w:szCs w:val="18"/>
      <w:lang w:val="es-ES" w:eastAsia="en-US"/>
    </w:rPr>
  </w:style>
  <w:style w:type="character" w:customStyle="1" w:styleId="DescripcinCar">
    <w:name w:val="Descripción Car"/>
    <w:basedOn w:val="Fuentedeprrafopredeter"/>
    <w:link w:val="Descripcin"/>
    <w:uiPriority w:val="35"/>
    <w:rsid w:val="00DF4072"/>
    <w:rPr>
      <w:rFonts w:asciiTheme="minorHAnsi" w:eastAsiaTheme="minorHAnsi" w:hAnsiTheme="minorHAnsi" w:cstheme="minorBidi"/>
      <w:b/>
      <w:bCs/>
      <w:sz w:val="18"/>
      <w:szCs w:val="18"/>
      <w:lang w:val="es-ES" w:eastAsia="en-US"/>
    </w:rPr>
  </w:style>
  <w:style w:type="paragraph" w:customStyle="1" w:styleId="Default">
    <w:name w:val="Default"/>
    <w:rsid w:val="00212844"/>
    <w:pPr>
      <w:autoSpaceDE w:val="0"/>
      <w:autoSpaceDN w:val="0"/>
      <w:adjustRightInd w:val="0"/>
    </w:pPr>
    <w:rPr>
      <w:rFonts w:ascii="Calibri" w:eastAsiaTheme="minorHAnsi" w:hAnsi="Calibri" w:cs="Calibri"/>
      <w:color w:val="000000"/>
      <w:lang w:eastAsia="en-US"/>
    </w:rPr>
  </w:style>
  <w:style w:type="character" w:customStyle="1" w:styleId="EncabezadoCar">
    <w:name w:val="Encabezado Car"/>
    <w:basedOn w:val="Fuentedeprrafopredeter"/>
    <w:link w:val="Encabezado"/>
    <w:uiPriority w:val="99"/>
    <w:rsid w:val="00212844"/>
    <w:rPr>
      <w:sz w:val="24"/>
      <w:szCs w:val="24"/>
      <w:lang w:val="es-CO" w:eastAsia="es-ES"/>
    </w:rPr>
  </w:style>
  <w:style w:type="character" w:customStyle="1" w:styleId="PiedepginaCar">
    <w:name w:val="Pie de página Car"/>
    <w:basedOn w:val="Fuentedeprrafopredeter"/>
    <w:link w:val="Piedepgina"/>
    <w:uiPriority w:val="99"/>
    <w:rsid w:val="00212844"/>
    <w:rPr>
      <w:sz w:val="24"/>
      <w:szCs w:val="24"/>
      <w:lang w:val="es-CO" w:eastAsia="es-ES"/>
    </w:rPr>
  </w:style>
  <w:style w:type="paragraph" w:customStyle="1" w:styleId="Textodenotaalfinal">
    <w:name w:val="Texto de nota al final"/>
    <w:basedOn w:val="Normal"/>
    <w:rsid w:val="00212844"/>
    <w:pPr>
      <w:widowControl w:val="0"/>
      <w:spacing w:before="120" w:after="60"/>
      <w:jc w:val="both"/>
    </w:pPr>
    <w:rPr>
      <w:rFonts w:ascii="Arial" w:hAnsi="Arial"/>
      <w:i/>
      <w:szCs w:val="20"/>
      <w:lang w:val="es-ES_tradnl" w:eastAsia="es-ES"/>
    </w:rPr>
  </w:style>
  <w:style w:type="paragraph" w:styleId="Sinespaciado">
    <w:name w:val="No Spacing"/>
    <w:uiPriority w:val="1"/>
    <w:qFormat/>
    <w:rsid w:val="00C9169E"/>
    <w:rPr>
      <w:rFonts w:asciiTheme="minorHAnsi" w:eastAsiaTheme="minorHAnsi" w:hAnsiTheme="minorHAnsi" w:cstheme="minorBidi"/>
      <w:szCs w:val="22"/>
      <w:lang w:val="en-US" w:eastAsia="en-US"/>
    </w:rPr>
  </w:style>
  <w:style w:type="character" w:customStyle="1" w:styleId="Ttulo2Car">
    <w:name w:val="Título 2 Car"/>
    <w:basedOn w:val="Fuentedeprrafopredeter"/>
    <w:link w:val="Ttulo2"/>
    <w:uiPriority w:val="9"/>
    <w:semiHidden/>
    <w:rsid w:val="001F57DA"/>
    <w:rPr>
      <w:rFonts w:asciiTheme="majorHAnsi" w:eastAsiaTheme="majorEastAsia" w:hAnsiTheme="majorHAnsi" w:cstheme="majorBidi"/>
      <w:color w:val="365F91" w:themeColor="accent1" w:themeShade="BF"/>
      <w:sz w:val="26"/>
      <w:szCs w:val="26"/>
      <w:lang w:val="es-CO" w:eastAsia="es-ES"/>
    </w:rPr>
  </w:style>
  <w:style w:type="character" w:customStyle="1" w:styleId="Ttulo3Car">
    <w:name w:val="Título 3 Car"/>
    <w:basedOn w:val="Fuentedeprrafopredeter"/>
    <w:link w:val="Ttulo3"/>
    <w:uiPriority w:val="9"/>
    <w:semiHidden/>
    <w:rsid w:val="001F57DA"/>
    <w:rPr>
      <w:rFonts w:asciiTheme="majorHAnsi" w:eastAsiaTheme="majorEastAsia" w:hAnsiTheme="majorHAnsi" w:cstheme="majorBidi"/>
      <w:color w:val="243F60" w:themeColor="accent1" w:themeShade="7F"/>
      <w:sz w:val="24"/>
      <w:szCs w:val="24"/>
      <w:lang w:val="es-CO" w:eastAsia="es-ES"/>
    </w:rPr>
  </w:style>
  <w:style w:type="table" w:customStyle="1" w:styleId="Tablanormal21">
    <w:name w:val="Tabla normal 21"/>
    <w:basedOn w:val="Tablanormal"/>
    <w:uiPriority w:val="42"/>
    <w:rsid w:val="001F57DA"/>
    <w:rPr>
      <w:rFonts w:asciiTheme="minorHAnsi" w:eastAsiaTheme="minorHAnsi" w:hAnsiTheme="minorHAnsi" w:cstheme="minorBidi"/>
      <w:sz w:val="22"/>
      <w:szCs w:val="22"/>
      <w:lang w:val="es-E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anormal31">
    <w:name w:val="Tabla normal 31"/>
    <w:basedOn w:val="Normal"/>
    <w:uiPriority w:val="34"/>
    <w:qFormat/>
    <w:rsid w:val="00CF0B30"/>
    <w:pPr>
      <w:suppressAutoHyphens/>
      <w:ind w:left="708"/>
    </w:pPr>
    <w:rPr>
      <w:lang w:eastAsia="zh-CN"/>
    </w:rPr>
  </w:style>
  <w:style w:type="paragraph" w:customStyle="1" w:styleId="Listamulticolor-nfasis11">
    <w:name w:val="Lista multicolor - Énfasis 11"/>
    <w:basedOn w:val="Normal"/>
    <w:uiPriority w:val="34"/>
    <w:qFormat/>
    <w:rsid w:val="009761E3"/>
    <w:pPr>
      <w:spacing w:after="200" w:line="276" w:lineRule="auto"/>
      <w:ind w:left="720"/>
      <w:contextualSpacing/>
    </w:pPr>
    <w:rPr>
      <w:rFonts w:ascii="Calibri" w:eastAsia="Calibri" w:hAnsi="Calibri"/>
      <w:sz w:val="22"/>
      <w:szCs w:val="22"/>
      <w:lang w:eastAsia="en-US"/>
    </w:rPr>
  </w:style>
  <w:style w:type="paragraph" w:styleId="Sangra2detindependiente">
    <w:name w:val="Body Text Indent 2"/>
    <w:basedOn w:val="Normal"/>
    <w:link w:val="Sangra2detindependienteCar"/>
    <w:uiPriority w:val="99"/>
    <w:unhideWhenUsed/>
    <w:rsid w:val="001A717E"/>
    <w:pPr>
      <w:spacing w:after="120" w:line="480" w:lineRule="auto"/>
      <w:ind w:left="283"/>
    </w:pPr>
    <w:rPr>
      <w:lang w:val="es-ES" w:eastAsia="es-ES"/>
    </w:rPr>
  </w:style>
  <w:style w:type="character" w:customStyle="1" w:styleId="Sangra2detindependienteCar">
    <w:name w:val="Sangría 2 de t. independiente Car"/>
    <w:basedOn w:val="Fuentedeprrafopredeter"/>
    <w:link w:val="Sangra2detindependiente"/>
    <w:uiPriority w:val="99"/>
    <w:rsid w:val="001A717E"/>
    <w:rPr>
      <w:sz w:val="24"/>
      <w:szCs w:val="24"/>
      <w:lang w:val="es-ES" w:eastAsia="es-ES"/>
    </w:rPr>
  </w:style>
  <w:style w:type="character" w:customStyle="1" w:styleId="TtuloCar">
    <w:name w:val="Título Car"/>
    <w:basedOn w:val="Fuentedeprrafopredeter"/>
    <w:link w:val="Ttulo"/>
    <w:uiPriority w:val="10"/>
    <w:rsid w:val="005A58F1"/>
    <w:rPr>
      <w:rFonts w:asciiTheme="majorHAnsi" w:eastAsiaTheme="majorEastAsia" w:hAnsiTheme="majorHAnsi" w:cstheme="majorBidi"/>
      <w:spacing w:val="-10"/>
      <w:kern w:val="28"/>
      <w:sz w:val="56"/>
      <w:szCs w:val="56"/>
      <w:lang w:val="es-CO" w:eastAsia="es-ES"/>
    </w:rPr>
  </w:style>
  <w:style w:type="character" w:customStyle="1" w:styleId="Mencinsinresolver1">
    <w:name w:val="Mención sin resolver1"/>
    <w:basedOn w:val="Fuentedeprrafopredeter"/>
    <w:uiPriority w:val="99"/>
    <w:semiHidden/>
    <w:unhideWhenUsed/>
    <w:rsid w:val="007C0C2D"/>
    <w:rPr>
      <w:color w:val="808080"/>
      <w:shd w:val="clear" w:color="auto" w:fill="E6E6E6"/>
    </w:rPr>
  </w:style>
  <w:style w:type="paragraph" w:styleId="Revisin">
    <w:name w:val="Revision"/>
    <w:hidden/>
    <w:uiPriority w:val="99"/>
    <w:semiHidden/>
    <w:rsid w:val="00351531"/>
    <w:rPr>
      <w:lang w:eastAsia="es-ES"/>
    </w:rPr>
  </w:style>
  <w:style w:type="paragraph" w:customStyle="1" w:styleId="textocarta">
    <w:name w:val="texto carta"/>
    <w:basedOn w:val="Normal"/>
    <w:uiPriority w:val="99"/>
    <w:rsid w:val="00351F5C"/>
    <w:pPr>
      <w:autoSpaceDE w:val="0"/>
      <w:autoSpaceDN w:val="0"/>
      <w:adjustRightInd w:val="0"/>
      <w:spacing w:line="300" w:lineRule="atLeast"/>
      <w:ind w:firstLine="300"/>
      <w:jc w:val="both"/>
      <w:textAlignment w:val="center"/>
    </w:pPr>
    <w:rPr>
      <w:rFonts w:ascii="Ancizar Sans Regular" w:eastAsiaTheme="minorEastAsia" w:hAnsi="Ancizar Sans Regular" w:cs="Ancizar Sans Regular"/>
      <w:color w:val="000000"/>
      <w:sz w:val="22"/>
      <w:szCs w:val="22"/>
      <w:lang w:val="es-ES_tradnl"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lang w:eastAsia="es-ES"/>
    </w:rPr>
  </w:style>
  <w:style w:type="character" w:styleId="Mencinsinresolver">
    <w:name w:val="Unresolved Mention"/>
    <w:basedOn w:val="Fuentedeprrafopredeter"/>
    <w:uiPriority w:val="99"/>
    <w:semiHidden/>
    <w:unhideWhenUsed/>
    <w:rsid w:val="003B7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778371">
      <w:bodyDiv w:val="1"/>
      <w:marLeft w:val="0"/>
      <w:marRight w:val="0"/>
      <w:marTop w:val="0"/>
      <w:marBottom w:val="0"/>
      <w:divBdr>
        <w:top w:val="none" w:sz="0" w:space="0" w:color="auto"/>
        <w:left w:val="none" w:sz="0" w:space="0" w:color="auto"/>
        <w:bottom w:val="none" w:sz="0" w:space="0" w:color="auto"/>
        <w:right w:val="none" w:sz="0" w:space="0" w:color="auto"/>
      </w:divBdr>
    </w:div>
    <w:div w:id="433792752">
      <w:bodyDiv w:val="1"/>
      <w:marLeft w:val="0"/>
      <w:marRight w:val="0"/>
      <w:marTop w:val="0"/>
      <w:marBottom w:val="0"/>
      <w:divBdr>
        <w:top w:val="none" w:sz="0" w:space="0" w:color="auto"/>
        <w:left w:val="none" w:sz="0" w:space="0" w:color="auto"/>
        <w:bottom w:val="none" w:sz="0" w:space="0" w:color="auto"/>
        <w:right w:val="none" w:sz="0" w:space="0" w:color="auto"/>
      </w:divBdr>
    </w:div>
    <w:div w:id="511574261">
      <w:bodyDiv w:val="1"/>
      <w:marLeft w:val="0"/>
      <w:marRight w:val="0"/>
      <w:marTop w:val="0"/>
      <w:marBottom w:val="0"/>
      <w:divBdr>
        <w:top w:val="none" w:sz="0" w:space="0" w:color="auto"/>
        <w:left w:val="none" w:sz="0" w:space="0" w:color="auto"/>
        <w:bottom w:val="none" w:sz="0" w:space="0" w:color="auto"/>
        <w:right w:val="none" w:sz="0" w:space="0" w:color="auto"/>
      </w:divBdr>
    </w:div>
    <w:div w:id="642348620">
      <w:bodyDiv w:val="1"/>
      <w:marLeft w:val="0"/>
      <w:marRight w:val="0"/>
      <w:marTop w:val="0"/>
      <w:marBottom w:val="0"/>
      <w:divBdr>
        <w:top w:val="none" w:sz="0" w:space="0" w:color="auto"/>
        <w:left w:val="none" w:sz="0" w:space="0" w:color="auto"/>
        <w:bottom w:val="none" w:sz="0" w:space="0" w:color="auto"/>
        <w:right w:val="none" w:sz="0" w:space="0" w:color="auto"/>
      </w:divBdr>
    </w:div>
    <w:div w:id="1017150024">
      <w:bodyDiv w:val="1"/>
      <w:marLeft w:val="0"/>
      <w:marRight w:val="0"/>
      <w:marTop w:val="0"/>
      <w:marBottom w:val="0"/>
      <w:divBdr>
        <w:top w:val="none" w:sz="0" w:space="0" w:color="auto"/>
        <w:left w:val="none" w:sz="0" w:space="0" w:color="auto"/>
        <w:bottom w:val="none" w:sz="0" w:space="0" w:color="auto"/>
        <w:right w:val="none" w:sz="0" w:space="0" w:color="auto"/>
      </w:divBdr>
    </w:div>
    <w:div w:id="1168518437">
      <w:bodyDiv w:val="1"/>
      <w:marLeft w:val="0"/>
      <w:marRight w:val="0"/>
      <w:marTop w:val="0"/>
      <w:marBottom w:val="0"/>
      <w:divBdr>
        <w:top w:val="none" w:sz="0" w:space="0" w:color="auto"/>
        <w:left w:val="none" w:sz="0" w:space="0" w:color="auto"/>
        <w:bottom w:val="none" w:sz="0" w:space="0" w:color="auto"/>
        <w:right w:val="none" w:sz="0" w:space="0" w:color="auto"/>
      </w:divBdr>
    </w:div>
    <w:div w:id="1864443001">
      <w:bodyDiv w:val="1"/>
      <w:marLeft w:val="0"/>
      <w:marRight w:val="0"/>
      <w:marTop w:val="0"/>
      <w:marBottom w:val="0"/>
      <w:divBdr>
        <w:top w:val="none" w:sz="0" w:space="0" w:color="auto"/>
        <w:left w:val="none" w:sz="0" w:space="0" w:color="auto"/>
        <w:bottom w:val="none" w:sz="0" w:space="0" w:color="auto"/>
        <w:right w:val="none" w:sz="0" w:space="0" w:color="auto"/>
      </w:divBdr>
    </w:div>
    <w:div w:id="1950310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68F82-86D2-4E21-B673-8357951EA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1725</Words>
  <Characters>9491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 CNO</dc:creator>
  <cp:keywords/>
  <dc:description/>
  <cp:lastModifiedBy>Alberto Olarte</cp:lastModifiedBy>
  <cp:revision>2</cp:revision>
  <dcterms:created xsi:type="dcterms:W3CDTF">2020-02-06T11:59:00Z</dcterms:created>
  <dcterms:modified xsi:type="dcterms:W3CDTF">2020-02-06T11:59:00Z</dcterms:modified>
</cp:coreProperties>
</file>